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B" w:rsidRPr="009E21AC" w:rsidRDefault="00C10CAB" w:rsidP="00B168FD">
      <w:pPr>
        <w:pStyle w:val="Akapitzlist1"/>
        <w:autoSpaceDE w:val="0"/>
        <w:spacing w:after="120" w:line="240" w:lineRule="auto"/>
        <w:ind w:left="0"/>
        <w:jc w:val="both"/>
        <w:rPr>
          <w:rFonts w:ascii="Tahoma" w:hAnsi="Tahoma" w:cs="Tahoma"/>
        </w:rPr>
      </w:pPr>
      <w:r w:rsidRPr="009E21AC">
        <w:rPr>
          <w:rFonts w:ascii="Tahoma" w:hAnsi="Tahoma" w:cs="Tahoma"/>
        </w:rPr>
        <w:t xml:space="preserve">Repty, </w:t>
      </w:r>
      <w:r>
        <w:rPr>
          <w:rFonts w:ascii="Tahoma" w:hAnsi="Tahoma" w:cs="Tahoma"/>
        </w:rPr>
        <w:t>2013-03-06</w:t>
      </w:r>
    </w:p>
    <w:p w:rsidR="00C10CAB" w:rsidRPr="00B168FD" w:rsidRDefault="00C10CAB" w:rsidP="00B168FD">
      <w:pPr>
        <w:pStyle w:val="BodyText"/>
        <w:tabs>
          <w:tab w:val="center" w:pos="5256"/>
          <w:tab w:val="right" w:pos="9792"/>
        </w:tabs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nr spr.: GCR/21/ZP/2013</w:t>
      </w:r>
    </w:p>
    <w:p w:rsidR="00C10CAB" w:rsidRPr="00B168FD" w:rsidRDefault="00C10CAB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ahoma" w:hAnsi="Tahoma" w:cs="Tahoma"/>
        </w:rPr>
      </w:pPr>
    </w:p>
    <w:p w:rsidR="00C10CAB" w:rsidRPr="00B168FD" w:rsidRDefault="00C10CAB" w:rsidP="001936EB">
      <w:pPr>
        <w:tabs>
          <w:tab w:val="left" w:pos="3828"/>
        </w:tabs>
        <w:jc w:val="center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  <w:u w:val="single"/>
        </w:rPr>
        <w:t>Postępowanie</w:t>
      </w:r>
      <w:r w:rsidRPr="00B168FD">
        <w:rPr>
          <w:rFonts w:ascii="Tahoma" w:hAnsi="Tahoma" w:cs="Tahoma"/>
          <w:b/>
          <w:sz w:val="22"/>
          <w:szCs w:val="22"/>
          <w:u w:val="single"/>
        </w:rPr>
        <w:br/>
      </w:r>
      <w:r w:rsidRPr="00B168FD">
        <w:rPr>
          <w:rFonts w:ascii="Tahoma" w:hAnsi="Tahoma" w:cs="Tahoma"/>
          <w:sz w:val="22"/>
          <w:szCs w:val="22"/>
        </w:rPr>
        <w:t>Przetarg nieograniczony na usługę</w:t>
      </w:r>
    </w:p>
    <w:p w:rsidR="00C10CAB" w:rsidRPr="00B168FD" w:rsidRDefault="00C10CAB" w:rsidP="00055C8D">
      <w:pPr>
        <w:jc w:val="center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„Kompleksowe ubezpieczenie mienia i odpowiedzialności cywilnej”</w:t>
      </w:r>
    </w:p>
    <w:p w:rsidR="00C10CAB" w:rsidRPr="00B168FD" w:rsidRDefault="00C10CAB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  <w:b/>
          <w:u w:val="single"/>
        </w:rPr>
      </w:pPr>
    </w:p>
    <w:p w:rsidR="00C10CAB" w:rsidRPr="00B168FD" w:rsidRDefault="00C10CAB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  <w:b/>
          <w:u w:val="single"/>
        </w:rPr>
      </w:pPr>
      <w:r w:rsidRPr="00B168FD">
        <w:rPr>
          <w:rFonts w:ascii="Tahoma" w:hAnsi="Tahoma" w:cs="Tahoma"/>
          <w:b/>
          <w:u w:val="single"/>
        </w:rPr>
        <w:t>Zamawiający</w:t>
      </w:r>
    </w:p>
    <w:p w:rsidR="00C10CAB" w:rsidRPr="00B168FD" w:rsidRDefault="00C10CAB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Samodzielny Publiczny Zakład Opieki Zdrowotnej „REPTY”</w:t>
      </w:r>
    </w:p>
    <w:p w:rsidR="00C10CAB" w:rsidRPr="00B168FD" w:rsidRDefault="00C10CAB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Górnośląskie Centrum Rehabilitacji im. gen Jerzego Ziętka</w:t>
      </w:r>
    </w:p>
    <w:p w:rsidR="00C10CAB" w:rsidRPr="00B168FD" w:rsidRDefault="00C10CAB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42-604 Tarnowskie Góry ul. Śniadeckiego 1</w:t>
      </w:r>
    </w:p>
    <w:p w:rsidR="00C10CAB" w:rsidRPr="00B168FD" w:rsidRDefault="00C10CAB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Regon: 000291701 NIP: 645-000-93-46</w:t>
      </w:r>
    </w:p>
    <w:p w:rsidR="00C10CAB" w:rsidRPr="00B168FD" w:rsidRDefault="00C10CAB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  <w:b/>
          <w:u w:val="single"/>
        </w:rPr>
      </w:pPr>
    </w:p>
    <w:p w:rsidR="00C10CAB" w:rsidRPr="00B168FD" w:rsidRDefault="00C10CAB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  <w:b/>
          <w:u w:val="single"/>
        </w:rPr>
      </w:pPr>
      <w:r w:rsidRPr="00B168FD">
        <w:rPr>
          <w:rFonts w:ascii="Tahoma" w:hAnsi="Tahoma" w:cs="Tahoma"/>
          <w:b/>
          <w:u w:val="single"/>
        </w:rPr>
        <w:t>Dotyczy</w:t>
      </w:r>
      <w:bookmarkStart w:id="0" w:name="_GoBack"/>
      <w:bookmarkEnd w:id="0"/>
    </w:p>
    <w:p w:rsidR="00C10CAB" w:rsidRPr="00B168FD" w:rsidRDefault="00C10CAB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</w:rPr>
      </w:pPr>
      <w:r w:rsidRPr="00B168FD">
        <w:rPr>
          <w:rFonts w:ascii="Tahoma" w:hAnsi="Tahoma" w:cs="Tahoma"/>
        </w:rPr>
        <w:t>Zmiany treści SIWZ</w:t>
      </w:r>
    </w:p>
    <w:p w:rsidR="00C10CAB" w:rsidRPr="00B168FD" w:rsidRDefault="00C10CAB" w:rsidP="00625415">
      <w:pPr>
        <w:pStyle w:val="Standard"/>
        <w:jc w:val="both"/>
        <w:rPr>
          <w:rFonts w:ascii="Tahoma" w:hAnsi="Tahoma" w:cs="Tahoma"/>
          <w:color w:val="000000"/>
          <w:sz w:val="22"/>
          <w:szCs w:val="22"/>
          <w:vertAlign w:val="superscript"/>
        </w:rPr>
      </w:pPr>
    </w:p>
    <w:p w:rsidR="00C10CAB" w:rsidRPr="00B168FD" w:rsidRDefault="00C10CAB" w:rsidP="007D2ED3">
      <w:pPr>
        <w:shd w:val="clear" w:color="auto" w:fill="EEECE1"/>
        <w:jc w:val="both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  <w:lang w:eastAsia="en-US"/>
        </w:rPr>
        <w:t>Zgodnie z art. 38 ust. 4 ustawy Prawo zamówień publicznych (Dz. U. z 2010 r. Nr 113, poz. 759 ze zm.) Pełnomocnik Zamawiającego informuje, że do</w:t>
      </w:r>
      <w:r>
        <w:rPr>
          <w:rFonts w:ascii="Tahoma" w:hAnsi="Tahoma" w:cs="Tahoma"/>
          <w:sz w:val="22"/>
          <w:szCs w:val="22"/>
          <w:lang w:eastAsia="en-US"/>
        </w:rPr>
        <w:t>konał zmiany treści Specyfikacji</w:t>
      </w:r>
      <w:r w:rsidRPr="00B168FD">
        <w:rPr>
          <w:rFonts w:ascii="Tahoma" w:hAnsi="Tahoma" w:cs="Tahoma"/>
          <w:sz w:val="22"/>
          <w:szCs w:val="22"/>
          <w:lang w:eastAsia="en-US"/>
        </w:rPr>
        <w:t xml:space="preserve"> Istotnych Warunków, zgodnie z poniższym:</w:t>
      </w:r>
    </w:p>
    <w:p w:rsidR="00C10CAB" w:rsidRPr="00B168FD" w:rsidRDefault="00C10CAB" w:rsidP="00625415">
      <w:pPr>
        <w:pStyle w:val="Akapitzlist1"/>
        <w:tabs>
          <w:tab w:val="center" w:pos="4534"/>
          <w:tab w:val="left" w:pos="7485"/>
        </w:tabs>
        <w:autoSpaceDE w:val="0"/>
        <w:autoSpaceDN w:val="0"/>
        <w:adjustRightInd w:val="0"/>
        <w:spacing w:after="120" w:line="240" w:lineRule="auto"/>
        <w:ind w:left="0"/>
        <w:rPr>
          <w:rFonts w:ascii="Tahoma" w:hAnsi="Tahoma" w:cs="Tahoma"/>
          <w:b/>
        </w:rPr>
      </w:pPr>
      <w:r w:rsidRPr="00B168FD">
        <w:rPr>
          <w:rFonts w:ascii="Tahoma" w:hAnsi="Tahoma" w:cs="Tahoma"/>
          <w:b/>
        </w:rPr>
        <w:tab/>
      </w:r>
    </w:p>
    <w:p w:rsidR="00C10CAB" w:rsidRPr="00B168FD" w:rsidRDefault="00C10CAB" w:rsidP="00625415">
      <w:pPr>
        <w:jc w:val="both"/>
        <w:rPr>
          <w:rFonts w:ascii="Tahoma" w:hAnsi="Tahoma" w:cs="Tahoma"/>
          <w:sz w:val="22"/>
          <w:szCs w:val="22"/>
        </w:rPr>
      </w:pPr>
    </w:p>
    <w:p w:rsidR="00C10CAB" w:rsidRPr="00B168FD" w:rsidRDefault="00C10CAB" w:rsidP="00A03D3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zapis </w:t>
      </w:r>
      <w:r w:rsidRPr="00B168FD">
        <w:rPr>
          <w:rFonts w:ascii="Tahoma" w:hAnsi="Tahoma" w:cs="Tahoma"/>
          <w:color w:val="000000"/>
          <w:sz w:val="22"/>
          <w:szCs w:val="22"/>
        </w:rPr>
        <w:t>Zadania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I-szego: pkt. 3.1 ppkt 9) </w:t>
      </w:r>
      <w:r w:rsidRPr="00B168FD">
        <w:rPr>
          <w:rFonts w:ascii="Tahoma" w:hAnsi="Tahoma" w:cs="Tahoma"/>
          <w:sz w:val="22"/>
          <w:szCs w:val="22"/>
        </w:rPr>
        <w:t>poprzez zastąpienie w całości poprzedniego zapisu poniższym:</w:t>
      </w:r>
    </w:p>
    <w:p w:rsidR="00C10CAB" w:rsidRPr="00B168FD" w:rsidRDefault="00C10CAB" w:rsidP="00760130">
      <w:pPr>
        <w:pStyle w:val="ListParagraph"/>
        <w:autoSpaceDE w:val="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 xml:space="preserve">9) naporu śniegu i lodu rozumianego jako bezpośrednie działanie ciężaru śniegu lub lodu na przedmiot ubezpieczenia albo przewrócenie się pod wpływem ciężaru śniegu lub lodu mienia sąsiedniego na </w:t>
      </w:r>
      <w:r>
        <w:rPr>
          <w:rFonts w:ascii="Tahoma" w:hAnsi="Tahoma" w:cs="Tahoma"/>
          <w:b/>
          <w:sz w:val="22"/>
          <w:szCs w:val="22"/>
        </w:rPr>
        <w:t xml:space="preserve">ubezpieczony budynek lub budowlę </w:t>
      </w:r>
      <w:r w:rsidRPr="00B168FD">
        <w:rPr>
          <w:rFonts w:ascii="Tahoma" w:hAnsi="Tahoma" w:cs="Tahoma"/>
          <w:b/>
          <w:sz w:val="22"/>
          <w:szCs w:val="22"/>
        </w:rPr>
        <w:t>powodujące uszkodzenie jego elementów konstrukcyjnych lub zawalenia się</w:t>
      </w:r>
      <w:r w:rsidRPr="00B168FD">
        <w:rPr>
          <w:rFonts w:ascii="Tahoma" w:hAnsi="Tahoma" w:cs="Tahoma"/>
          <w:sz w:val="22"/>
          <w:szCs w:val="22"/>
        </w:rPr>
        <w:t xml:space="preserve">;  </w:t>
      </w:r>
      <w:r w:rsidRPr="00B168FD">
        <w:rPr>
          <w:rFonts w:ascii="Tahoma" w:hAnsi="Tahoma" w:cs="Tahoma"/>
          <w:b/>
          <w:sz w:val="22"/>
          <w:szCs w:val="22"/>
        </w:rPr>
        <w:t xml:space="preserve">dla szkód będących następstwem oddziaływania ciężaru śniegu/lodu na przedmiot ubezpieczenia, jak również szkód będących następstwem zawalenia się budynków, budowli, masztów, drzew itp. na ubezpieczone mienie w wyniku działania ciężaru śniegu/lodu – innych niż szkody w elementach konstrukcyjnych lub zawalenie się, gdzie odpowiedzialność jest do pełnej sumy ubezpieczenia mienia dotkniętego szkodą - oraz szkody będące następstwem zalania mienia na skutek topnienia śniegu i lodu zalegającego na dachach obowiązuje limit 50 000,00 zł na jeden  i wszystkie zdarzenia w okresie ubezpieczenia; </w:t>
      </w:r>
    </w:p>
    <w:p w:rsidR="00C10CAB" w:rsidRPr="00B168FD" w:rsidRDefault="00C10CAB" w:rsidP="00A03D36">
      <w:pPr>
        <w:jc w:val="both"/>
        <w:rPr>
          <w:rFonts w:ascii="Tahoma" w:hAnsi="Tahoma" w:cs="Tahoma"/>
          <w:sz w:val="22"/>
          <w:szCs w:val="22"/>
        </w:rPr>
      </w:pPr>
    </w:p>
    <w:p w:rsidR="00C10CAB" w:rsidRPr="00B168FD" w:rsidRDefault="00C10CAB" w:rsidP="00055C8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zapis </w:t>
      </w:r>
      <w:r w:rsidRPr="00B168FD">
        <w:rPr>
          <w:rFonts w:ascii="Tahoma" w:hAnsi="Tahoma" w:cs="Tahoma"/>
          <w:color w:val="000000"/>
          <w:sz w:val="22"/>
          <w:szCs w:val="22"/>
        </w:rPr>
        <w:t>Zadania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I-szego: </w:t>
      </w:r>
      <w:r w:rsidRPr="00B168FD">
        <w:rPr>
          <w:rFonts w:ascii="Tahoma" w:hAnsi="Tahoma" w:cs="Tahoma"/>
          <w:sz w:val="22"/>
          <w:szCs w:val="22"/>
        </w:rPr>
        <w:t>pkt. 3.9 poprzez zastąpienie dotychczasowej treści w całości poniższym:</w:t>
      </w:r>
    </w:p>
    <w:p w:rsidR="00C10CAB" w:rsidRPr="00B168FD" w:rsidRDefault="00C10CAB" w:rsidP="00311F2D">
      <w:pPr>
        <w:pStyle w:val="ListParagraph"/>
        <w:numPr>
          <w:ilvl w:val="0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Dopuszcza się zastosowanie wyłączenia za szkody spowodowane przez:</w:t>
      </w:r>
    </w:p>
    <w:p w:rsidR="00C10CAB" w:rsidRPr="00B168FD" w:rsidRDefault="00C10CAB" w:rsidP="00311F2D">
      <w:pPr>
        <w:pStyle w:val="ListParagraph"/>
        <w:numPr>
          <w:ilvl w:val="2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wybuch spowodowany w celach produkcyjnych, eksploatacyjnych lub innych oraz w silnikach spalinowych, gdy wybuch spowodowany jest z ich naturalną funkcją lub gdy wybuch spowodowany został normalnym ciśnieniem zawartych w nich gazów; limit na szkody spowodowane przez wybuch (inny niż określony w zdaniu pierwszym) w urządzeniach elektrycznych, wskutek działania prądu elektrycznego, zarówno z pojawieniem się ognia jak i bez (np. przepięcie) w wysokości 500 000,00zł na jedno i wszystkie zdarzenia w okresie ubezpieczenia;</w:t>
      </w:r>
    </w:p>
    <w:p w:rsidR="00C10CAB" w:rsidRPr="00B168FD" w:rsidRDefault="00C10CAB" w:rsidP="00311F2D">
      <w:pPr>
        <w:pStyle w:val="ListParagraph"/>
        <w:numPr>
          <w:ilvl w:val="2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 xml:space="preserve">wskutek działania prądu elektrycznego przez opalenie, chyba że opalenie nastąpiło jako skutek pożaru, uderzenia pioruna; </w:t>
      </w:r>
    </w:p>
    <w:p w:rsidR="00C10CAB" w:rsidRPr="00B168FD" w:rsidRDefault="00C10CAB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zapis </w:t>
      </w:r>
      <w:r w:rsidRPr="00B168FD">
        <w:rPr>
          <w:rFonts w:ascii="Tahoma" w:hAnsi="Tahoma" w:cs="Tahoma"/>
          <w:color w:val="000000"/>
          <w:sz w:val="22"/>
          <w:szCs w:val="22"/>
        </w:rPr>
        <w:t>Zadania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I-szego: </w:t>
      </w:r>
      <w:r w:rsidRPr="00B168FD">
        <w:rPr>
          <w:rFonts w:ascii="Tahoma" w:hAnsi="Tahoma" w:cs="Tahoma"/>
          <w:sz w:val="22"/>
          <w:szCs w:val="22"/>
        </w:rPr>
        <w:t>pkt. 3.11.9 poprzez zastąpienie dotychczasowej treści w całości poniższym:</w:t>
      </w:r>
    </w:p>
    <w:p w:rsidR="00C10CAB" w:rsidRPr="00B168FD" w:rsidRDefault="00C10CAB" w:rsidP="00311F2D">
      <w:pPr>
        <w:pStyle w:val="ListParagraph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pStyle w:val="ListParagraph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b/>
          <w:vanish/>
          <w:sz w:val="22"/>
          <w:szCs w:val="22"/>
        </w:rPr>
      </w:pPr>
    </w:p>
    <w:p w:rsidR="00C10CAB" w:rsidRPr="00B168FD" w:rsidRDefault="00C10CAB" w:rsidP="00311F2D">
      <w:pPr>
        <w:numPr>
          <w:ilvl w:val="2"/>
          <w:numId w:val="14"/>
        </w:numPr>
        <w:tabs>
          <w:tab w:val="left" w:pos="709"/>
        </w:tabs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 xml:space="preserve">  klauzula drobnych prac remontowo-modernizacyjnych - rozszerzenie zakresu ubezpieczenia o szkody powstałe w trakcie i w wyniku prowadzenia przez Ubezpieczonego lub na Jego zlecenie drobnych prac remontowo-modernizacyjnych, tj. takich które nie wiążą się z naruszeniem konstrukcji nośnej obiektu lub konstrukcji dachu i dla których nie są wymagane przepisami prawa odrębne zezwolenia lub też konieczność ich zgłaszania do odpowiednich organów administracyjnych z następującymi limitami odpowiedzialności:</w:t>
      </w:r>
    </w:p>
    <w:p w:rsidR="00C10CAB" w:rsidRPr="00B168FD" w:rsidRDefault="00C10CAB" w:rsidP="00311F2D">
      <w:pPr>
        <w:numPr>
          <w:ilvl w:val="3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w przedmiocie ubezpieczenia – do pełnej sumy ubezpieczenia;</w:t>
      </w:r>
    </w:p>
    <w:p w:rsidR="00C10CAB" w:rsidRPr="00B168FD" w:rsidRDefault="00C10CAB" w:rsidP="00311F2D">
      <w:pPr>
        <w:numPr>
          <w:ilvl w:val="3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w przedmiocie  drobnych prac remontowo-modernizacyjnych do kwoty 250.000,- PLN na jedno i wszystkie zdarzenia w okresie ubezpieczenia;</w:t>
      </w:r>
    </w:p>
    <w:p w:rsidR="00C10CAB" w:rsidRPr="00B168FD" w:rsidRDefault="00C10CAB" w:rsidP="00311F2D">
      <w:pPr>
        <w:numPr>
          <w:ilvl w:val="3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ubezpieczyciel zachowuje prawo do regresu z tytułu wypłaconego odszkodowania w przypadku szkód, za które odpowiedzialność ponosi inny podmiot niż Ubezpieczony;</w:t>
      </w:r>
    </w:p>
    <w:p w:rsidR="00C10CAB" w:rsidRPr="00B168FD" w:rsidRDefault="00C10CAB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C10CAB" w:rsidRPr="00B168FD" w:rsidRDefault="00C10CAB" w:rsidP="0047585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Zadania I-szego: </w:t>
      </w:r>
      <w:r w:rsidRPr="00B168FD">
        <w:rPr>
          <w:rFonts w:ascii="Tahoma" w:hAnsi="Tahoma" w:cs="Tahoma"/>
          <w:sz w:val="22"/>
          <w:szCs w:val="22"/>
        </w:rPr>
        <w:t>pkt. 3.11.11.  poprzez zastąpienie dotychczasowej treści w całości poniższym:</w:t>
      </w:r>
    </w:p>
    <w:p w:rsidR="00C10CAB" w:rsidRPr="00B168FD" w:rsidRDefault="00C10CAB" w:rsidP="00475853">
      <w:pPr>
        <w:spacing w:line="280" w:lineRule="exact"/>
        <w:ind w:right="-108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3.11.11. klauzula kosztów poszukiwania miejsca wycieku i usunięcia awarii  w brzmieniu: Z zachowaniem pozostałych, nie zmienionych niniejszą klauzulą postanowień ogólnych warunków ubezpieczenia i innych postanowień umowy ubezpieczenia ustala się, że ochrona ubezpieczeniowa obejmuje koszty poszukiwania wycieków z instalacji wodno-kanalizacyjnej oraz usunięcia skutków takich poszukiwań; limit na szkody wynosi  25.000,00 PLN na  jedno i wszystkie zdarzenia w okresie ubezpieczenia;</w:t>
      </w:r>
    </w:p>
    <w:p w:rsidR="00C10CAB" w:rsidRPr="00B168FD" w:rsidRDefault="00C10CAB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C10CAB" w:rsidRPr="00B168FD" w:rsidRDefault="00C10CAB" w:rsidP="00FA51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Zadania I-szego: </w:t>
      </w:r>
      <w:r w:rsidRPr="00B168FD">
        <w:rPr>
          <w:rFonts w:ascii="Tahoma" w:hAnsi="Tahoma" w:cs="Tahoma"/>
          <w:sz w:val="22"/>
          <w:szCs w:val="22"/>
        </w:rPr>
        <w:t>pkt. pkt 3.1 ppkt 10).  poprzez zastąpienie dotychczasowej treści w całości poniższym:</w:t>
      </w:r>
    </w:p>
    <w:p w:rsidR="00C10CAB" w:rsidRPr="00B168FD" w:rsidRDefault="00C10CAB" w:rsidP="00FA5157">
      <w:pPr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10) zamarzania i/lub pękania mrozowego rur, instalacji i przewodów w związku z zamarzaniem wody i innych cieczy (łącznie z kosztami robót pomocniczych związanych z ich naprawą i rozmrożeniem) – limit na szkody w instalacjach, rurach i przewodach, w tym także biegnących na zewnątrz budynków wynosi 100.000,- PLN na jedno i wszystkie zdarzenia w okresie ubezpieczenia; dla następstw szkód  wskutek zamarzania i/lub pękania  mrozowego limit określa się w łącznej wysokości 500.000,00 PLN na jedno i wszystkie zdarzenia w okresie ubezpieczenia;</w:t>
      </w:r>
    </w:p>
    <w:p w:rsidR="00C10CAB" w:rsidRPr="00B168FD" w:rsidRDefault="00C10CAB" w:rsidP="00FA515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10CAB" w:rsidRPr="00B168FD" w:rsidRDefault="00C10CAB" w:rsidP="00FA51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Zadania I-szego: </w:t>
      </w:r>
      <w:r w:rsidRPr="00B168FD">
        <w:rPr>
          <w:rFonts w:ascii="Tahoma" w:hAnsi="Tahoma" w:cs="Tahoma"/>
          <w:sz w:val="22"/>
          <w:szCs w:val="22"/>
        </w:rPr>
        <w:t>pkt. 4.5. poprzez dodanie do dotychczasowej treści nowego punktu zgodnie z poniższym:</w:t>
      </w:r>
    </w:p>
    <w:p w:rsidR="00C10CAB" w:rsidRPr="00B168FD" w:rsidRDefault="00C10CAB" w:rsidP="00FA5157">
      <w:pPr>
        <w:autoSpaceDE w:val="0"/>
        <w:autoSpaceDN w:val="0"/>
        <w:adjustRightInd w:val="0"/>
        <w:ind w:firstLine="708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h)</w:t>
      </w:r>
      <w:r w:rsidRPr="00B168FD">
        <w:rPr>
          <w:rFonts w:ascii="Tahoma" w:hAnsi="Tahoma" w:cs="Tahoma"/>
          <w:b/>
          <w:sz w:val="22"/>
          <w:szCs w:val="22"/>
          <w:u w:val="single"/>
        </w:rPr>
        <w:t xml:space="preserve"> Za wartości pieniężne i przedmioty wartościowe - uważa się</w:t>
      </w:r>
      <w:r w:rsidRPr="00B168FD">
        <w:rPr>
          <w:rFonts w:ascii="Tahoma" w:hAnsi="Tahoma" w:cs="Tahoma"/>
          <w:sz w:val="22"/>
          <w:szCs w:val="22"/>
        </w:rPr>
        <w:t>: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krajowe i zagraniczne znaki pieniężne,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czeki, z wyjątkiem czeków zakreślonych, skasowanych lub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opatrzonych indosem pełnomocniczym, zawierającym wzmiankę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„wartość do inkasa”, „należność do inkasa” lub inną o podobnym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charakterze,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weksle, z wyjątkiem weksli opatrzonych indosem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pełnomocniczym, zawierającym wzmiankę „wartość do inkasa”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lub inną o podobnym charakterze,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biżuterię, kamienie szlachetne, metale szlachetne, perły, bursztyn,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dzieła sztuki oraz inne przedmioty o charakterze artystycznym,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zabytkowym lub unikatowym,</w:t>
      </w:r>
    </w:p>
    <w:p w:rsidR="00C10CAB" w:rsidRPr="00B168FD" w:rsidRDefault="00C10CAB" w:rsidP="00FA515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>inne dokumenty zastępujące w obrocie gotówkę, z wyłączeniem kart płatniczych, kredytowych, charge i debetowych,</w:t>
      </w:r>
    </w:p>
    <w:p w:rsidR="00C10CAB" w:rsidRPr="00B168FD" w:rsidRDefault="00C10CAB" w:rsidP="00FA515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10CAB" w:rsidRPr="00B168FD" w:rsidRDefault="00C10CAB" w:rsidP="00FA515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10CAB" w:rsidRPr="00B168FD" w:rsidRDefault="00C10CAB" w:rsidP="00FA51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Zadania I-szego: </w:t>
      </w:r>
      <w:r w:rsidRPr="00B168FD">
        <w:rPr>
          <w:rFonts w:ascii="Tahoma" w:hAnsi="Tahoma" w:cs="Tahoma"/>
          <w:sz w:val="22"/>
          <w:szCs w:val="22"/>
        </w:rPr>
        <w:t>pkt. pkt 3.11.5  poprzez zastąpienie dotychczasowej treści w całości poniższym:</w:t>
      </w:r>
    </w:p>
    <w:p w:rsidR="00C10CAB" w:rsidRPr="00B168FD" w:rsidRDefault="00C10CAB" w:rsidP="00FA5157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3.11.5 klauzula katastrofy budowlanej - rozumie się niezamierzone, gwałtowne zniszczenie budynku lub budowli bądź ich części, a także konstrukcyjnych elementów rusztowań, elementów urządzeń formujących, ścianek szczelnych i obudowy wykopów, o którym zostały powiadomione podmioty określone w art. 75 ust. 1 ustawy Prawo budowlane. Za katastrofę budowlaną nie uznaje się:</w:t>
      </w: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a) uszkodzenia elementu wbudowanego w budynek lub budowlę nadającego się do naprawy lub wymiany,</w:t>
      </w: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b) uszkodzenia lub zniszczenia urządzeń mechanicznych i elektronicznych stanowiących funkcjonalną i integralną część budynku,</w:t>
      </w: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c) awarii instalacji.</w:t>
      </w: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Zakresem ochrony ubezpieczeniowej nie są objęte budynki i budowle przeznaczone do rozbiórki lub wyburzenia oraz wyłączone z eksploatacji, a także znajdujące się w nich mienie.</w:t>
      </w: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Limit odpowiedzialności za szkody objęte zakresem przedmiotowej klauzuli: 1.000.000,00PLN  na jedno i wszystkie zdarzenia w okresie ubezpieczenia.</w:t>
      </w:r>
    </w:p>
    <w:p w:rsidR="00C10CAB" w:rsidRPr="00B168FD" w:rsidRDefault="00C10CAB" w:rsidP="00FA5157">
      <w:pPr>
        <w:tabs>
          <w:tab w:val="left" w:pos="851"/>
        </w:tabs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C10CAB" w:rsidRPr="00B168FD" w:rsidRDefault="00C10CAB" w:rsidP="00FA51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B168FD">
        <w:rPr>
          <w:rFonts w:ascii="Tahoma" w:hAnsi="Tahoma" w:cs="Tahoma"/>
          <w:sz w:val="22"/>
          <w:szCs w:val="22"/>
        </w:rPr>
        <w:t xml:space="preserve">Zmianie ulega </w:t>
      </w:r>
      <w:r w:rsidRPr="00B168FD">
        <w:rPr>
          <w:rFonts w:ascii="Tahoma" w:hAnsi="Tahoma" w:cs="Tahoma"/>
          <w:color w:val="000000"/>
          <w:sz w:val="22"/>
          <w:szCs w:val="22"/>
        </w:rPr>
        <w:t xml:space="preserve">Zadania I-szego: </w:t>
      </w:r>
      <w:r w:rsidRPr="00B168FD">
        <w:rPr>
          <w:rFonts w:ascii="Tahoma" w:hAnsi="Tahoma" w:cs="Tahoma"/>
          <w:sz w:val="22"/>
          <w:szCs w:val="22"/>
        </w:rPr>
        <w:t xml:space="preserve">pkt. 5.6. </w:t>
      </w:r>
      <w:r>
        <w:rPr>
          <w:rFonts w:ascii="Tahoma" w:hAnsi="Tahoma" w:cs="Tahoma"/>
          <w:sz w:val="22"/>
          <w:szCs w:val="22"/>
        </w:rPr>
        <w:t xml:space="preserve">i Zadania II-giego pkt. 2.3. </w:t>
      </w:r>
      <w:r w:rsidRPr="00B168FD">
        <w:rPr>
          <w:rFonts w:ascii="Tahoma" w:hAnsi="Tahoma" w:cs="Tahoma"/>
          <w:sz w:val="22"/>
          <w:szCs w:val="22"/>
        </w:rPr>
        <w:t>poprzez zastąpienie dotychczasowej treści w całości poniższym:</w:t>
      </w:r>
    </w:p>
    <w:p w:rsidR="00C10CAB" w:rsidRDefault="00C10CAB" w:rsidP="00FA5157">
      <w:pPr>
        <w:tabs>
          <w:tab w:val="left" w:pos="1243"/>
        </w:tabs>
        <w:autoSpaceDE w:val="0"/>
        <w:jc w:val="both"/>
        <w:rPr>
          <w:rFonts w:ascii="Tahoma" w:hAnsi="Tahoma" w:cs="Tahoma"/>
          <w:b/>
          <w:sz w:val="22"/>
          <w:szCs w:val="22"/>
        </w:rPr>
      </w:pPr>
    </w:p>
    <w:p w:rsidR="00C10CAB" w:rsidRPr="00B168FD" w:rsidRDefault="00C10CAB" w:rsidP="00FA5157">
      <w:pPr>
        <w:tabs>
          <w:tab w:val="left" w:pos="1243"/>
        </w:tabs>
        <w:autoSpaceDE w:val="0"/>
        <w:jc w:val="both"/>
        <w:rPr>
          <w:rFonts w:ascii="Tahoma" w:hAnsi="Tahoma" w:cs="Tahoma"/>
          <w:sz w:val="22"/>
          <w:szCs w:val="22"/>
        </w:rPr>
      </w:pPr>
      <w:r w:rsidRPr="00B168FD">
        <w:rPr>
          <w:rFonts w:ascii="Tahoma" w:hAnsi="Tahoma" w:cs="Tahoma"/>
          <w:b/>
          <w:sz w:val="22"/>
          <w:szCs w:val="22"/>
        </w:rPr>
        <w:t>Klauzula rozliczenia składek</w:t>
      </w:r>
      <w:r w:rsidRPr="00B168FD">
        <w:rPr>
          <w:rFonts w:ascii="Tahoma" w:hAnsi="Tahoma" w:cs="Tahoma"/>
          <w:sz w:val="22"/>
          <w:szCs w:val="22"/>
        </w:rPr>
        <w:t xml:space="preserve"> uznająca zasadę dokonywania dodatkowych płatności przez Ubezpieczającego, a powstałych na tle zawartych umów ubezpieczenia, wynikających w szczególności z konieczności dopłat, zwrotów składek oraz innych rozliczeń w systemie pro rata za każdy dzień ochrony ubezpieczeniowej; nie dotyczy ubezpieczeń obowiązkowych oraz klauzul automatycznego pokrycia i klauzul, dla w systemie pierwszego ryzyka. </w:t>
      </w:r>
    </w:p>
    <w:p w:rsidR="00C10CAB" w:rsidRPr="00B168FD" w:rsidRDefault="00C10CAB" w:rsidP="00FA5157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10CAB" w:rsidRPr="00B168FD" w:rsidRDefault="00C10CAB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B168FD">
        <w:rPr>
          <w:rFonts w:ascii="Tahoma" w:hAnsi="Tahoma" w:cs="Tahoma"/>
          <w:b/>
          <w:bCs/>
          <w:sz w:val="22"/>
          <w:szCs w:val="22"/>
        </w:rPr>
        <w:t xml:space="preserve">Powyższe staje się obowiązujące dla wszystkich zainteresowanych Wykonawców. Treść specyfikacji wraz z załącznikami  należy odczytywać z uwzględnieniem wprowadzonej zmiany jak powyżej. </w:t>
      </w:r>
    </w:p>
    <w:p w:rsidR="00C10CAB" w:rsidRPr="00B168FD" w:rsidRDefault="00C10CAB" w:rsidP="00625415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Tahoma" w:hAnsi="Tahoma"/>
          <w:b/>
          <w:sz w:val="22"/>
          <w:szCs w:val="22"/>
          <w:shd w:val="clear" w:color="auto" w:fill="FFFF00"/>
        </w:rPr>
      </w:pPr>
    </w:p>
    <w:p w:rsidR="00C10CAB" w:rsidRPr="00B168FD" w:rsidRDefault="00C10CAB">
      <w:pPr>
        <w:rPr>
          <w:rFonts w:ascii="Tahoma" w:hAnsi="Tahoma" w:cs="Tahoma"/>
          <w:sz w:val="22"/>
          <w:szCs w:val="22"/>
        </w:rPr>
      </w:pPr>
    </w:p>
    <w:p w:rsidR="00C10CAB" w:rsidRPr="00B168FD" w:rsidRDefault="00C10CAB" w:rsidP="00E07163">
      <w:pPr>
        <w:pStyle w:val="WW-Tekstpodstawowy2"/>
        <w:tabs>
          <w:tab w:val="center" w:pos="5256"/>
          <w:tab w:val="right" w:pos="9792"/>
        </w:tabs>
        <w:jc w:val="center"/>
        <w:rPr>
          <w:rFonts w:ascii="Tahoma" w:hAnsi="Tahoma"/>
          <w:sz w:val="22"/>
          <w:szCs w:val="22"/>
        </w:rPr>
      </w:pPr>
    </w:p>
    <w:p w:rsidR="00C10CAB" w:rsidRPr="00B168FD" w:rsidRDefault="00C10CAB">
      <w:pPr>
        <w:rPr>
          <w:rFonts w:ascii="Tahoma" w:hAnsi="Tahoma" w:cs="Tahoma"/>
          <w:sz w:val="22"/>
          <w:szCs w:val="22"/>
        </w:rPr>
      </w:pPr>
    </w:p>
    <w:sectPr w:rsidR="00C10CAB" w:rsidRPr="00B168FD" w:rsidSect="00684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AB" w:rsidRDefault="00C10CAB" w:rsidP="000B3C97">
      <w:r>
        <w:separator/>
      </w:r>
    </w:p>
  </w:endnote>
  <w:endnote w:type="continuationSeparator" w:id="1">
    <w:p w:rsidR="00C10CAB" w:rsidRDefault="00C10CAB" w:rsidP="000B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AB" w:rsidRDefault="00C10CA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10CAB" w:rsidRDefault="00C10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AB" w:rsidRDefault="00C10CAB" w:rsidP="000B3C97">
      <w:r>
        <w:separator/>
      </w:r>
    </w:p>
  </w:footnote>
  <w:footnote w:type="continuationSeparator" w:id="1">
    <w:p w:rsidR="00C10CAB" w:rsidRDefault="00C10CAB" w:rsidP="000B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BB8"/>
    <w:multiLevelType w:val="multilevel"/>
    <w:tmpl w:val="D57A6086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BDC2B3B"/>
    <w:multiLevelType w:val="multilevel"/>
    <w:tmpl w:val="604485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10E60AB9"/>
    <w:multiLevelType w:val="multilevel"/>
    <w:tmpl w:val="ABF459BE"/>
    <w:lvl w:ilvl="0">
      <w:start w:val="3"/>
      <w:numFmt w:val="decimal"/>
      <w:lvlText w:val="%1"/>
      <w:lvlJc w:val="left"/>
      <w:pPr>
        <w:ind w:left="680" w:hanging="680"/>
      </w:pPr>
      <w:rPr>
        <w:rFonts w:cs="Times New Roman" w:hint="default"/>
        <w:b w:val="0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14470AF7"/>
    <w:multiLevelType w:val="multilevel"/>
    <w:tmpl w:val="E0FEF2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9ED5085"/>
    <w:multiLevelType w:val="hybridMultilevel"/>
    <w:tmpl w:val="9B1E32DA"/>
    <w:lvl w:ilvl="0" w:tplc="790AD9E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E3284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31C29B8"/>
    <w:multiLevelType w:val="hybridMultilevel"/>
    <w:tmpl w:val="4A74BA3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24384F"/>
    <w:multiLevelType w:val="multilevel"/>
    <w:tmpl w:val="EF4CC60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A4017E2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E15183F"/>
    <w:multiLevelType w:val="multilevel"/>
    <w:tmpl w:val="1604F82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E70470B"/>
    <w:multiLevelType w:val="multilevel"/>
    <w:tmpl w:val="69601952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cs="Times New Roman" w:hint="default"/>
        <w:b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36133167"/>
    <w:multiLevelType w:val="multilevel"/>
    <w:tmpl w:val="E59A06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A1741F3"/>
    <w:multiLevelType w:val="multilevel"/>
    <w:tmpl w:val="5332F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6F2799A"/>
    <w:multiLevelType w:val="hybridMultilevel"/>
    <w:tmpl w:val="41CCB23A"/>
    <w:lvl w:ilvl="0" w:tplc="E5CE9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91E45"/>
    <w:multiLevelType w:val="multilevel"/>
    <w:tmpl w:val="65EA566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3606D4"/>
    <w:multiLevelType w:val="multilevel"/>
    <w:tmpl w:val="DD967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227" w:firstLine="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579B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4D57D17"/>
    <w:multiLevelType w:val="multilevel"/>
    <w:tmpl w:val="4E78B0B4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F27718C"/>
    <w:multiLevelType w:val="multilevel"/>
    <w:tmpl w:val="A77E09E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26319C9"/>
    <w:multiLevelType w:val="multilevel"/>
    <w:tmpl w:val="F3CC72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5186531"/>
    <w:multiLevelType w:val="hybridMultilevel"/>
    <w:tmpl w:val="C436EB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3"/>
  </w:num>
  <w:num w:numId="7">
    <w:abstractNumId w:val="20"/>
  </w:num>
  <w:num w:numId="8">
    <w:abstractNumId w:val="20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5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27" w:firstLine="133"/>
        </w:pPr>
        <w:rPr>
          <w:rFonts w:cs="Times New Roman"/>
          <w:b w:val="0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cs="Times New Roman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415"/>
    <w:rsid w:val="00003532"/>
    <w:rsid w:val="00044384"/>
    <w:rsid w:val="00055C8D"/>
    <w:rsid w:val="000B3C97"/>
    <w:rsid w:val="000D07FF"/>
    <w:rsid w:val="00180000"/>
    <w:rsid w:val="001936EB"/>
    <w:rsid w:val="00200672"/>
    <w:rsid w:val="002570A9"/>
    <w:rsid w:val="00311F2D"/>
    <w:rsid w:val="00367A82"/>
    <w:rsid w:val="00475853"/>
    <w:rsid w:val="0053468B"/>
    <w:rsid w:val="00625415"/>
    <w:rsid w:val="00673851"/>
    <w:rsid w:val="00684700"/>
    <w:rsid w:val="007224EE"/>
    <w:rsid w:val="00760130"/>
    <w:rsid w:val="007D2ED3"/>
    <w:rsid w:val="00904886"/>
    <w:rsid w:val="0092468C"/>
    <w:rsid w:val="00985F5A"/>
    <w:rsid w:val="009D7A1A"/>
    <w:rsid w:val="009E21AC"/>
    <w:rsid w:val="00A03D36"/>
    <w:rsid w:val="00A66A73"/>
    <w:rsid w:val="00B168FD"/>
    <w:rsid w:val="00BC3848"/>
    <w:rsid w:val="00C10CAB"/>
    <w:rsid w:val="00C52B40"/>
    <w:rsid w:val="00C9527A"/>
    <w:rsid w:val="00CA1049"/>
    <w:rsid w:val="00CC6A0A"/>
    <w:rsid w:val="00CF347A"/>
    <w:rsid w:val="00D84783"/>
    <w:rsid w:val="00DB1887"/>
    <w:rsid w:val="00E07163"/>
    <w:rsid w:val="00EF768A"/>
    <w:rsid w:val="00FA5157"/>
    <w:rsid w:val="00F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25415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"/>
    <w:uiPriority w:val="99"/>
    <w:rsid w:val="00625415"/>
    <w:pPr>
      <w:widowControl w:val="0"/>
      <w:suppressAutoHyphens w:val="0"/>
      <w:autoSpaceDN w:val="0"/>
      <w:adjustRightInd w:val="0"/>
      <w:ind w:left="566" w:hanging="283"/>
    </w:pPr>
    <w:rPr>
      <w:rFonts w:cs="Tahoma"/>
      <w:lang w:eastAsia="pl-PL"/>
    </w:rPr>
  </w:style>
  <w:style w:type="paragraph" w:styleId="ListParagraph">
    <w:name w:val="List Paragraph"/>
    <w:basedOn w:val="Normal"/>
    <w:uiPriority w:val="99"/>
    <w:qFormat/>
    <w:rsid w:val="00625415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6254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Header">
    <w:name w:val="header"/>
    <w:basedOn w:val="Normal"/>
    <w:link w:val="HeaderChar"/>
    <w:uiPriority w:val="99"/>
    <w:rsid w:val="000B3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C9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B3C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C9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07163"/>
    <w:pPr>
      <w:widowControl w:val="0"/>
      <w:ind w:left="284" w:hanging="284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7163"/>
    <w:rPr>
      <w:rFonts w:ascii="Arial" w:hAnsi="Arial"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E07163"/>
    <w:pPr>
      <w:widowControl w:val="0"/>
    </w:pPr>
    <w:rPr>
      <w:rFonts w:ascii="Arial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055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5C8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tresc">
    <w:name w:val="standard_tresc"/>
    <w:basedOn w:val="Normal"/>
    <w:link w:val="standardtrescZnak"/>
    <w:uiPriority w:val="99"/>
    <w:rsid w:val="001936EB"/>
    <w:pPr>
      <w:suppressAutoHyphens w:val="0"/>
      <w:jc w:val="both"/>
    </w:pPr>
    <w:rPr>
      <w:rFonts w:ascii="Arial" w:hAnsi="Arial"/>
      <w:lang w:eastAsia="pl-PL"/>
    </w:rPr>
  </w:style>
  <w:style w:type="character" w:customStyle="1" w:styleId="standardtrescZnak">
    <w:name w:val="standard_tresc Znak"/>
    <w:basedOn w:val="DefaultParagraphFont"/>
    <w:link w:val="standardtresc"/>
    <w:uiPriority w:val="99"/>
    <w:locked/>
    <w:rsid w:val="001936EB"/>
    <w:rPr>
      <w:rFonts w:ascii="Arial" w:hAnsi="Arial" w:cs="Times New Roman"/>
      <w:sz w:val="24"/>
      <w:szCs w:val="24"/>
      <w:lang w:eastAsia="pl-PL"/>
    </w:rPr>
  </w:style>
  <w:style w:type="paragraph" w:customStyle="1" w:styleId="styl1">
    <w:name w:val="styl1"/>
    <w:basedOn w:val="Normal"/>
    <w:uiPriority w:val="99"/>
    <w:rsid w:val="00B168FD"/>
    <w:pPr>
      <w:keepNext/>
      <w:suppressAutoHyphens w:val="0"/>
      <w:spacing w:before="240" w:after="60"/>
      <w:jc w:val="both"/>
    </w:pPr>
    <w:rPr>
      <w:rFonts w:ascii="Arial" w:eastAsia="Calibri" w:hAnsi="Arial" w:cs="Arial"/>
      <w:b/>
      <w:bCs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1042</Words>
  <Characters>6258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Repty, 2013-03-06</dc:title>
  <dc:subject/>
  <dc:creator>Ania Borowska</dc:creator>
  <cp:keywords/>
  <dc:description/>
  <cp:lastModifiedBy>bear</cp:lastModifiedBy>
  <cp:revision>2</cp:revision>
  <cp:lastPrinted>2011-11-18T10:14:00Z</cp:lastPrinted>
  <dcterms:created xsi:type="dcterms:W3CDTF">2013-03-06T13:28:00Z</dcterms:created>
  <dcterms:modified xsi:type="dcterms:W3CDTF">2013-03-06T13:28:00Z</dcterms:modified>
</cp:coreProperties>
</file>