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5" w:rsidRPr="000D07FF" w:rsidRDefault="00FD0907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Bookman Old Style" w:hAnsi="Bookman Old Style" w:cstheme="minorHAnsi"/>
          <w:sz w:val="23"/>
          <w:szCs w:val="23"/>
        </w:rPr>
      </w:pPr>
      <w:bookmarkStart w:id="0" w:name="_GoBack"/>
      <w:bookmarkEnd w:id="0"/>
      <w:r>
        <w:rPr>
          <w:rFonts w:ascii="Bookman Old Style" w:hAnsi="Bookman Old Style" w:cstheme="minorHAnsi"/>
          <w:sz w:val="23"/>
          <w:szCs w:val="23"/>
        </w:rPr>
        <w:t>Repty</w:t>
      </w:r>
      <w:r w:rsidR="00625415" w:rsidRPr="000D07FF">
        <w:rPr>
          <w:rFonts w:ascii="Bookman Old Style" w:hAnsi="Bookman Old Style" w:cstheme="minorHAnsi"/>
          <w:sz w:val="23"/>
          <w:szCs w:val="23"/>
        </w:rPr>
        <w:t xml:space="preserve">, </w:t>
      </w:r>
      <w:r w:rsidR="00055C8D">
        <w:rPr>
          <w:rFonts w:ascii="Bookman Old Style" w:hAnsi="Bookman Old Style" w:cstheme="minorHAnsi"/>
          <w:sz w:val="23"/>
          <w:szCs w:val="23"/>
        </w:rPr>
        <w:t>2012-02-27</w:t>
      </w:r>
    </w:p>
    <w:p w:rsidR="00055C8D" w:rsidRPr="001936EB" w:rsidRDefault="00055C8D" w:rsidP="00055C8D">
      <w:pPr>
        <w:pStyle w:val="Tekstpodstawowy"/>
        <w:tabs>
          <w:tab w:val="center" w:pos="5256"/>
          <w:tab w:val="right" w:pos="9792"/>
        </w:tabs>
        <w:rPr>
          <w:rFonts w:ascii="Bookman Old Style" w:hAnsi="Bookman Old Style" w:cs="Arial"/>
          <w:b/>
          <w:sz w:val="22"/>
          <w:szCs w:val="22"/>
        </w:rPr>
      </w:pPr>
      <w:r w:rsidRPr="001936EB">
        <w:rPr>
          <w:rFonts w:ascii="Bookman Old Style" w:hAnsi="Bookman Old Style" w:cstheme="minorHAnsi"/>
          <w:b/>
          <w:sz w:val="22"/>
          <w:szCs w:val="22"/>
        </w:rPr>
        <w:t xml:space="preserve">nr spr.: </w:t>
      </w:r>
      <w:r w:rsidRPr="001936EB">
        <w:rPr>
          <w:rFonts w:ascii="Bookman Old Style" w:hAnsi="Bookman Old Style"/>
          <w:b/>
          <w:sz w:val="22"/>
          <w:szCs w:val="22"/>
        </w:rPr>
        <w:t>GCR/6/ZP/2012</w:t>
      </w:r>
    </w:p>
    <w:p w:rsidR="00625415" w:rsidRPr="000D07FF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Bookman Old Style" w:hAnsi="Bookman Old Style" w:cstheme="minorHAnsi"/>
          <w:sz w:val="23"/>
          <w:szCs w:val="23"/>
        </w:rPr>
      </w:pPr>
    </w:p>
    <w:p w:rsidR="00055C8D" w:rsidRDefault="007D2ED3" w:rsidP="001936EB">
      <w:pPr>
        <w:tabs>
          <w:tab w:val="left" w:pos="3828"/>
        </w:tabs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theme="minorHAnsi"/>
          <w:b/>
          <w:sz w:val="23"/>
          <w:szCs w:val="23"/>
          <w:u w:val="single"/>
        </w:rPr>
        <w:t>Postępowanie</w:t>
      </w:r>
      <w:r w:rsidR="00625415" w:rsidRPr="000D07FF">
        <w:rPr>
          <w:rFonts w:ascii="Bookman Old Style" w:hAnsi="Bookman Old Style" w:cstheme="minorHAnsi"/>
          <w:b/>
          <w:sz w:val="23"/>
          <w:szCs w:val="23"/>
          <w:u w:val="single"/>
        </w:rPr>
        <w:br/>
      </w:r>
      <w:r w:rsidRPr="007D2ED3">
        <w:rPr>
          <w:rFonts w:ascii="Bookman Old Style" w:hAnsi="Bookman Old Style" w:cs="Arial"/>
          <w:sz w:val="23"/>
          <w:szCs w:val="23"/>
        </w:rPr>
        <w:t>Przetarg</w:t>
      </w:r>
      <w:r>
        <w:rPr>
          <w:rFonts w:ascii="Bookman Old Style" w:hAnsi="Bookman Old Style" w:cs="Arial"/>
          <w:sz w:val="23"/>
          <w:szCs w:val="23"/>
        </w:rPr>
        <w:t xml:space="preserve"> nieograniczony</w:t>
      </w:r>
      <w:r w:rsidR="00055C8D">
        <w:rPr>
          <w:rFonts w:ascii="Bookman Old Style" w:hAnsi="Bookman Old Style" w:cs="Arial"/>
          <w:sz w:val="23"/>
          <w:szCs w:val="23"/>
        </w:rPr>
        <w:t xml:space="preserve"> na usługę</w:t>
      </w:r>
    </w:p>
    <w:p w:rsidR="00625415" w:rsidRPr="00055C8D" w:rsidRDefault="00625415" w:rsidP="00055C8D">
      <w:pPr>
        <w:jc w:val="center"/>
        <w:rPr>
          <w:rFonts w:ascii="Bookman Old Style" w:hAnsi="Bookman Old Style" w:cs="Arial"/>
          <w:sz w:val="23"/>
          <w:szCs w:val="23"/>
        </w:rPr>
      </w:pPr>
      <w:r w:rsidRPr="007D2ED3">
        <w:rPr>
          <w:rFonts w:ascii="Bookman Old Style" w:hAnsi="Bookman Old Style" w:cs="Arial"/>
          <w:sz w:val="23"/>
          <w:szCs w:val="23"/>
        </w:rPr>
        <w:t>„</w:t>
      </w:r>
      <w:r w:rsidR="00055C8D" w:rsidRPr="00055C8D">
        <w:rPr>
          <w:rFonts w:ascii="Bookman Old Style" w:hAnsi="Bookman Old Style" w:cs="Arial"/>
          <w:sz w:val="23"/>
          <w:szCs w:val="23"/>
        </w:rPr>
        <w:t>Kompleksowe ubezpieczenie mienia i odpowiedzialności cywilnej”</w:t>
      </w:r>
    </w:p>
    <w:p w:rsidR="007D2ED3" w:rsidRDefault="007D2ED3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sz w:val="23"/>
          <w:szCs w:val="23"/>
          <w:u w:val="single"/>
        </w:rPr>
      </w:pPr>
    </w:p>
    <w:p w:rsidR="00625415" w:rsidRPr="000D07FF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sz w:val="23"/>
          <w:szCs w:val="23"/>
          <w:u w:val="single"/>
        </w:rPr>
      </w:pPr>
      <w:r w:rsidRPr="000D07FF">
        <w:rPr>
          <w:rFonts w:ascii="Bookman Old Style" w:hAnsi="Bookman Old Style" w:cstheme="minorHAnsi"/>
          <w:b/>
          <w:sz w:val="23"/>
          <w:szCs w:val="23"/>
          <w:u w:val="single"/>
        </w:rPr>
        <w:t>Zamawiający</w:t>
      </w:r>
    </w:p>
    <w:p w:rsidR="00055C8D" w:rsidRPr="00CA31F8" w:rsidRDefault="00055C8D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Samodzielny Publiczny Zakład Opieki Zdrowotnej „REPTY”</w:t>
      </w:r>
    </w:p>
    <w:p w:rsidR="00055C8D" w:rsidRPr="00CA31F8" w:rsidRDefault="00055C8D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Górnośląskie Centrum Rehabilitacji im. gen Jerzego Ziętka</w:t>
      </w:r>
    </w:p>
    <w:p w:rsidR="00055C8D" w:rsidRPr="00CA31F8" w:rsidRDefault="00055C8D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42-604 Tarnowskie Góry ul. Śniadeckiego 1</w:t>
      </w:r>
    </w:p>
    <w:p w:rsidR="00055C8D" w:rsidRPr="00CA31F8" w:rsidRDefault="00055C8D" w:rsidP="00055C8D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Regon: 000291701 NIP: 645-000-93-46</w:t>
      </w:r>
    </w:p>
    <w:p w:rsidR="00625415" w:rsidRPr="000D07FF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sz w:val="23"/>
          <w:szCs w:val="23"/>
          <w:u w:val="single"/>
        </w:rPr>
      </w:pPr>
    </w:p>
    <w:p w:rsidR="00625415" w:rsidRPr="000D07FF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sz w:val="23"/>
          <w:szCs w:val="23"/>
          <w:u w:val="single"/>
        </w:rPr>
      </w:pPr>
      <w:r w:rsidRPr="000D07FF">
        <w:rPr>
          <w:rFonts w:ascii="Bookman Old Style" w:hAnsi="Bookman Old Style" w:cstheme="minorHAnsi"/>
          <w:b/>
          <w:sz w:val="23"/>
          <w:szCs w:val="23"/>
          <w:u w:val="single"/>
        </w:rPr>
        <w:t>Dotyczy</w:t>
      </w:r>
    </w:p>
    <w:p w:rsidR="00625415" w:rsidRPr="000D07FF" w:rsidRDefault="00CF347A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sz w:val="23"/>
          <w:szCs w:val="23"/>
        </w:rPr>
      </w:pPr>
      <w:r>
        <w:rPr>
          <w:rFonts w:ascii="Bookman Old Style" w:hAnsi="Bookman Old Style" w:cstheme="minorHAnsi"/>
          <w:sz w:val="23"/>
          <w:szCs w:val="23"/>
        </w:rPr>
        <w:t>Zmiany treści SIWZ</w:t>
      </w:r>
    </w:p>
    <w:p w:rsidR="00625415" w:rsidRPr="000D07FF" w:rsidRDefault="00625415" w:rsidP="00625415">
      <w:pPr>
        <w:pStyle w:val="Standard"/>
        <w:jc w:val="both"/>
        <w:rPr>
          <w:rFonts w:ascii="Bookman Old Style" w:hAnsi="Bookman Old Style" w:cstheme="minorHAnsi"/>
          <w:color w:val="000000" w:themeColor="text1"/>
          <w:sz w:val="23"/>
          <w:szCs w:val="23"/>
          <w:vertAlign w:val="superscript"/>
        </w:rPr>
      </w:pPr>
    </w:p>
    <w:p w:rsidR="00625415" w:rsidRPr="007D2ED3" w:rsidRDefault="007D2ED3" w:rsidP="007D2ED3">
      <w:pPr>
        <w:shd w:val="clear" w:color="auto" w:fill="EEECE1" w:themeFill="background2"/>
        <w:jc w:val="both"/>
        <w:rPr>
          <w:rFonts w:ascii="Bookman Old Style" w:hAnsi="Bookman Old Style" w:cstheme="minorHAnsi"/>
        </w:rPr>
      </w:pPr>
      <w:r w:rsidRPr="007D2ED3">
        <w:rPr>
          <w:rFonts w:ascii="Bookman Old Style" w:eastAsia="Calibri" w:hAnsi="Bookman Old Style"/>
          <w:lang w:eastAsia="en-US"/>
        </w:rPr>
        <w:t>Zgodnie z art. 38 ust. 4 ustawy Prawo zamówień publicznych (Dz. U. z 2010 r. Nr 113, poz. 759 ze zm.) Pełnomocnik Zamawiającego informuje, że dokonał zmiany treści Specyfikację Istotnych Warunków</w:t>
      </w:r>
      <w:r w:rsidR="00CF347A">
        <w:rPr>
          <w:rFonts w:ascii="Bookman Old Style" w:eastAsia="Calibri" w:hAnsi="Bookman Old Style"/>
          <w:lang w:eastAsia="en-US"/>
        </w:rPr>
        <w:t xml:space="preserve">, prowadzącej do zmiany treści ogłoszenia, </w:t>
      </w:r>
      <w:r w:rsidRPr="007D2ED3">
        <w:rPr>
          <w:rFonts w:ascii="Bookman Old Style" w:eastAsia="Calibri" w:hAnsi="Bookman Old Style"/>
          <w:lang w:eastAsia="en-US"/>
        </w:rPr>
        <w:t>zgodnie z poniższym:</w:t>
      </w:r>
    </w:p>
    <w:p w:rsidR="00625415" w:rsidRPr="000D07FF" w:rsidRDefault="00625415" w:rsidP="00625415">
      <w:pPr>
        <w:pStyle w:val="Akapitzlist1"/>
        <w:tabs>
          <w:tab w:val="center" w:pos="4534"/>
          <w:tab w:val="left" w:pos="7485"/>
        </w:tabs>
        <w:autoSpaceDE w:val="0"/>
        <w:autoSpaceDN w:val="0"/>
        <w:adjustRightInd w:val="0"/>
        <w:spacing w:after="120" w:line="240" w:lineRule="auto"/>
        <w:ind w:left="0"/>
        <w:rPr>
          <w:rFonts w:ascii="Bookman Old Style" w:hAnsi="Bookman Old Style" w:cstheme="minorHAnsi"/>
          <w:b/>
          <w:sz w:val="23"/>
          <w:szCs w:val="23"/>
        </w:rPr>
      </w:pPr>
      <w:r w:rsidRPr="000D07FF">
        <w:rPr>
          <w:rFonts w:ascii="Bookman Old Style" w:hAnsi="Bookman Old Style" w:cstheme="minorHAnsi"/>
          <w:b/>
          <w:sz w:val="23"/>
          <w:szCs w:val="23"/>
        </w:rPr>
        <w:tab/>
      </w:r>
    </w:p>
    <w:p w:rsidR="00625415" w:rsidRPr="000D07FF" w:rsidRDefault="00625415" w:rsidP="00625415">
      <w:pPr>
        <w:jc w:val="both"/>
        <w:rPr>
          <w:rFonts w:ascii="Bookman Old Style" w:hAnsi="Bookman Old Style" w:cs="Arial"/>
          <w:sz w:val="23"/>
          <w:szCs w:val="23"/>
        </w:rPr>
      </w:pPr>
    </w:p>
    <w:p w:rsidR="00055C8D" w:rsidRPr="00055C8D" w:rsidRDefault="00055C8D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Zmianie ulega pkt</w:t>
      </w:r>
      <w:r w:rsidRPr="00055C8D">
        <w:rPr>
          <w:rFonts w:ascii="Bookman Old Style" w:hAnsi="Bookman Old Style" w:cs="Arial"/>
          <w:sz w:val="23"/>
          <w:szCs w:val="23"/>
        </w:rPr>
        <w:t xml:space="preserve">. 1.1 SIWZ Zadanie I-sze: usługa ubezpieczenia na rzecz pacjentów z tytułu zdarzeń medycznych poprzez zastąpienie wskazanego pkt poniższym w całości: </w:t>
      </w:r>
    </w:p>
    <w:p w:rsidR="00055C8D" w:rsidRPr="00CA31F8" w:rsidRDefault="00055C8D" w:rsidP="00055C8D">
      <w:pPr>
        <w:pStyle w:val="Akapitzlist"/>
        <w:widowControl w:val="0"/>
        <w:numPr>
          <w:ilvl w:val="1"/>
          <w:numId w:val="3"/>
        </w:numPr>
        <w:suppressAutoHyphens w:val="0"/>
        <w:autoSpaceDN w:val="0"/>
        <w:adjustRightInd w:val="0"/>
        <w:jc w:val="both"/>
        <w:rPr>
          <w:rFonts w:ascii="Bookman Old Style" w:hAnsi="Bookman Old Style" w:cs="Calibri"/>
          <w:b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>Suma ubezpieczenia w 12 miesięcznym okresie ubezpieczenia, w odniesieniu do wszystkich zdarzeń medycznych objętych ochroną ubezpieczeniową, wynosi 1.200.000 PLN (słownie: jeden milion dwieście tysięcy PLN 00/100), z tym że w przypadku:</w:t>
      </w:r>
    </w:p>
    <w:p w:rsidR="00055C8D" w:rsidRPr="00CA31F8" w:rsidRDefault="00055C8D" w:rsidP="00055C8D">
      <w:pPr>
        <w:jc w:val="both"/>
        <w:rPr>
          <w:rFonts w:ascii="Bookman Old Style" w:hAnsi="Bookman Old Style" w:cs="Calibri"/>
          <w:b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>1.1.1. zakażenia, uszkodzenia ciała lub rozstroju zdrowia pacjenta wynosi 100 000 PLN (słownie: sto tysięcy PLN 00/100)</w:t>
      </w:r>
    </w:p>
    <w:p w:rsidR="00055C8D" w:rsidRPr="00CA31F8" w:rsidRDefault="00055C8D" w:rsidP="00055C8D">
      <w:pPr>
        <w:pStyle w:val="Akapitzlist"/>
        <w:widowControl w:val="0"/>
        <w:numPr>
          <w:ilvl w:val="2"/>
          <w:numId w:val="4"/>
        </w:numPr>
        <w:suppressAutoHyphens w:val="0"/>
        <w:autoSpaceDN w:val="0"/>
        <w:adjustRightInd w:val="0"/>
        <w:jc w:val="both"/>
        <w:rPr>
          <w:rFonts w:ascii="Bookman Old Style" w:hAnsi="Bookman Old Style" w:cs="Calibri"/>
          <w:b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>śmierci pacjenta - wynosi 300 000 PLN (słownie: trzysta tysięcy PLN 00/100);</w:t>
      </w:r>
    </w:p>
    <w:p w:rsidR="00055C8D" w:rsidRDefault="00055C8D" w:rsidP="00055C8D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CA31F8">
        <w:rPr>
          <w:rFonts w:ascii="Bookman Old Style" w:hAnsi="Bookman Old Style" w:cs="Arial"/>
          <w:b/>
          <w:sz w:val="22"/>
          <w:szCs w:val="22"/>
        </w:rPr>
        <w:t>- w odniesieniu do jednego pacjenta.</w:t>
      </w:r>
    </w:p>
    <w:p w:rsidR="00625415" w:rsidRPr="000D07FF" w:rsidRDefault="00625415" w:rsidP="00625415">
      <w:pPr>
        <w:jc w:val="both"/>
        <w:rPr>
          <w:rFonts w:ascii="Bookman Old Style" w:hAnsi="Bookman Old Style" w:cs="Arial"/>
          <w:b/>
          <w:sz w:val="23"/>
          <w:szCs w:val="23"/>
        </w:rPr>
      </w:pPr>
    </w:p>
    <w:p w:rsidR="007D2ED3" w:rsidRDefault="007D2ED3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sz w:val="23"/>
          <w:szCs w:val="23"/>
        </w:rPr>
      </w:pPr>
      <w:r w:rsidRPr="00055C8D">
        <w:rPr>
          <w:rFonts w:ascii="Bookman Old Style" w:hAnsi="Bookman Old Style" w:cs="Arial"/>
          <w:sz w:val="23"/>
          <w:szCs w:val="23"/>
        </w:rPr>
        <w:t>Zmianie ulega</w:t>
      </w:r>
      <w:r w:rsidR="00055C8D">
        <w:rPr>
          <w:rFonts w:ascii="Bookman Old Style" w:hAnsi="Bookman Old Style" w:cs="Arial"/>
          <w:sz w:val="23"/>
          <w:szCs w:val="23"/>
        </w:rPr>
        <w:t>ją zapis</w:t>
      </w:r>
      <w:r w:rsidR="001936EB">
        <w:rPr>
          <w:rFonts w:ascii="Bookman Old Style" w:hAnsi="Bookman Old Style" w:cs="Arial"/>
          <w:sz w:val="23"/>
          <w:szCs w:val="23"/>
        </w:rPr>
        <w:t>y</w:t>
      </w:r>
      <w:r w:rsidR="00055C8D">
        <w:rPr>
          <w:rFonts w:ascii="Bookman Old Style" w:hAnsi="Bookman Old Style" w:cs="Arial"/>
          <w:sz w:val="23"/>
          <w:szCs w:val="23"/>
        </w:rPr>
        <w:t xml:space="preserve"> SIWZ Zadanie II-gie </w:t>
      </w:r>
      <w:r w:rsidR="00055C8D" w:rsidRPr="00055C8D">
        <w:rPr>
          <w:rFonts w:ascii="Bookman Old Style" w:hAnsi="Bookman Old Style" w:cs="Arial"/>
          <w:sz w:val="23"/>
          <w:szCs w:val="23"/>
        </w:rPr>
        <w:t>pkt 1.1 – 1.3. poprzez zastąpienie dotychczasowej treści w całości poniższymi zapisami:</w:t>
      </w:r>
    </w:p>
    <w:p w:rsidR="00055C8D" w:rsidRPr="00055C8D" w:rsidRDefault="001936EB" w:rsidP="001936EB">
      <w:pPr>
        <w:pStyle w:val="Akapitzlist"/>
        <w:ind w:left="360"/>
        <w:jc w:val="both"/>
        <w:rPr>
          <w:rFonts w:ascii="Bookman Old Style" w:eastAsia="Arial Unicode MS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iCs/>
          <w:color w:val="000000"/>
          <w:sz w:val="22"/>
          <w:szCs w:val="22"/>
        </w:rPr>
        <w:t>1.</w:t>
      </w:r>
      <w:r w:rsidR="00055C8D">
        <w:rPr>
          <w:rFonts w:ascii="Bookman Old Style" w:hAnsi="Bookman Old Style" w:cs="Arial"/>
          <w:b/>
          <w:iCs/>
          <w:color w:val="000000"/>
          <w:sz w:val="22"/>
          <w:szCs w:val="22"/>
        </w:rPr>
        <w:t xml:space="preserve">1. </w:t>
      </w:r>
      <w:r w:rsidR="00055C8D" w:rsidRPr="00055C8D">
        <w:rPr>
          <w:rFonts w:ascii="Bookman Old Style" w:hAnsi="Bookman Old Style" w:cs="Arial"/>
          <w:b/>
          <w:iCs/>
          <w:color w:val="000000"/>
          <w:sz w:val="22"/>
          <w:szCs w:val="22"/>
        </w:rPr>
        <w:t>Przedmiotem ubezpieczenia jest odpowiedzialność cywilna Zamawiającego za szkody (będące następstwem śmierci, uszkodzenia ciała lub rozstroju zdrowia, w tym także utracone korzyści poszkodowanego, które mógłby osiągnąć, gdyby nie doznał uszkodzenia ciała lub rozstroju zdrowia (szkoda na osobie))  wyrządzone osobie trzeciej w następstwie udzielania świadczeń zdrowotnych albo niezgodnego z prawem zaniechania udzielania świadczeń zdrowotnych w związku z wykonywaniem przez ubezpieczonego działalności leczniczej. Zakład Ubezpieczeń udziela ochrony ubezpieczeniowej z tytułu odpowiedzialności cywilnej za szkody wyrządzone przez ubezpieczonego w zakresie nie objętym obowiązkowym ubezpieczeniem odpowiedzialności cywilnej podmiotu leczniczego.</w:t>
      </w:r>
    </w:p>
    <w:p w:rsidR="00055C8D" w:rsidRPr="00C53E7D" w:rsidRDefault="00055C8D" w:rsidP="00055C8D">
      <w:pPr>
        <w:pStyle w:val="Akapitzlist"/>
        <w:numPr>
          <w:ilvl w:val="1"/>
          <w:numId w:val="4"/>
        </w:numPr>
        <w:jc w:val="both"/>
        <w:rPr>
          <w:rFonts w:ascii="Bookman Old Style" w:hAnsi="Bookman Old Style" w:cs="Arial"/>
          <w:b/>
          <w:iCs/>
          <w:color w:val="000000"/>
          <w:sz w:val="22"/>
          <w:szCs w:val="22"/>
        </w:rPr>
      </w:pP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lastRenderedPageBreak/>
        <w:t>Przedmiotem ubezpieczenia jest także odpowiedzialność cywilna Zamawiającego za szkody (osobowe, w tym także utracone korzyści poszkodowanego, które mógłby osiągnąć, gdyby nie doznał uszkodzenia ciała lub rozstroju zdrowia i rzeczowe) wyrządzone osobie trzeciej w związku z prowadzeniem działalności pozamedycznej określonej w umowie ubezpieczenia lub posiadanym mieniem, które jest wykorzystywane w takiej działalności, będące  następstwem:</w:t>
      </w:r>
    </w:p>
    <w:p w:rsidR="00055C8D" w:rsidRPr="00C53E7D" w:rsidRDefault="00055C8D" w:rsidP="00055C8D">
      <w:pPr>
        <w:pStyle w:val="Akapitzlist"/>
        <w:numPr>
          <w:ilvl w:val="2"/>
          <w:numId w:val="4"/>
        </w:numPr>
        <w:jc w:val="both"/>
        <w:rPr>
          <w:rFonts w:ascii="Bookman Old Style" w:hAnsi="Bookman Old Style" w:cs="Arial"/>
          <w:b/>
          <w:iCs/>
          <w:color w:val="000000"/>
          <w:sz w:val="22"/>
          <w:szCs w:val="22"/>
        </w:rPr>
      </w:pP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t xml:space="preserve">czynu niedozwolonego w granicach odpowiedzialności ustawowej </w:t>
      </w: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br/>
        <w:t>(OC deliktowa) lub</w:t>
      </w:r>
    </w:p>
    <w:p w:rsidR="00055C8D" w:rsidRPr="00C53E7D" w:rsidRDefault="00055C8D" w:rsidP="00055C8D">
      <w:pPr>
        <w:pStyle w:val="Akapitzlist"/>
        <w:numPr>
          <w:ilvl w:val="2"/>
          <w:numId w:val="4"/>
        </w:numPr>
        <w:jc w:val="both"/>
        <w:rPr>
          <w:rFonts w:ascii="Bookman Old Style" w:hAnsi="Bookman Old Style" w:cs="Arial"/>
          <w:b/>
          <w:iCs/>
          <w:color w:val="000000"/>
          <w:sz w:val="22"/>
          <w:szCs w:val="22"/>
        </w:rPr>
      </w:pP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t xml:space="preserve">niewykonania lub nienależytego wykonania zobowiązania </w:t>
      </w: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br/>
        <w:t>(OC kontraktowa).</w:t>
      </w:r>
    </w:p>
    <w:p w:rsidR="00055C8D" w:rsidRPr="00C53E7D" w:rsidRDefault="00055C8D" w:rsidP="00055C8D">
      <w:pPr>
        <w:pStyle w:val="Akapitzlist"/>
        <w:ind w:left="555"/>
        <w:jc w:val="both"/>
        <w:rPr>
          <w:rFonts w:ascii="Bookman Old Style" w:hAnsi="Bookman Old Style" w:cs="Arial"/>
          <w:b/>
          <w:iCs/>
          <w:color w:val="000000"/>
          <w:sz w:val="22"/>
          <w:szCs w:val="22"/>
        </w:rPr>
      </w:pP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t>Ubezpieczona działalność pozamedyczna prowadzona przez Zamawiającego</w:t>
      </w:r>
      <w:r>
        <w:rPr>
          <w:rFonts w:ascii="Bookman Old Style" w:hAnsi="Bookman Old Style" w:cs="Arial"/>
          <w:b/>
          <w:iCs/>
          <w:color w:val="000000"/>
          <w:sz w:val="22"/>
          <w:szCs w:val="22"/>
        </w:rPr>
        <w:t xml:space="preserve">: </w:t>
      </w: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t xml:space="preserve">działalność administracyjna, wynajem lokali/pomieszczeń, sprzedaż mediów, pozostała działalność (m.in. prowadzenie szkoleń, odpłatne wydawanie dokumentacji medycznej, itp. </w:t>
      </w:r>
    </w:p>
    <w:p w:rsidR="00055C8D" w:rsidRPr="00C53E7D" w:rsidRDefault="00055C8D" w:rsidP="00055C8D">
      <w:pPr>
        <w:pStyle w:val="Akapitzlist"/>
        <w:numPr>
          <w:ilvl w:val="1"/>
          <w:numId w:val="4"/>
        </w:numPr>
        <w:jc w:val="both"/>
        <w:rPr>
          <w:rFonts w:ascii="Bookman Old Style" w:hAnsi="Bookman Old Style" w:cs="Arial"/>
          <w:b/>
          <w:iCs/>
          <w:color w:val="000000"/>
          <w:sz w:val="22"/>
          <w:szCs w:val="22"/>
        </w:rPr>
      </w:pPr>
      <w:r w:rsidRPr="00C53E7D">
        <w:rPr>
          <w:rFonts w:ascii="Bookman Old Style" w:hAnsi="Bookman Old Style" w:cs="Arial"/>
          <w:b/>
          <w:iCs/>
          <w:color w:val="000000"/>
          <w:sz w:val="22"/>
          <w:szCs w:val="22"/>
        </w:rPr>
        <w:t>Ochroną ubezpieczeniową objęte są także szkody wyrządzone w wyniku rażącego niedbalstwa</w:t>
      </w:r>
      <w:r>
        <w:rPr>
          <w:rFonts w:ascii="Bookman Old Style" w:hAnsi="Bookman Old Style" w:cs="Arial"/>
          <w:b/>
          <w:iCs/>
          <w:color w:val="000000"/>
          <w:sz w:val="22"/>
          <w:szCs w:val="22"/>
        </w:rPr>
        <w:t>;</w:t>
      </w:r>
    </w:p>
    <w:p w:rsidR="00625415" w:rsidRPr="000D07FF" w:rsidRDefault="00625415" w:rsidP="00625415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</w:p>
    <w:p w:rsidR="00A03D36" w:rsidRDefault="00A03D36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Zmianie ulega </w:t>
      </w:r>
      <w:r>
        <w:rPr>
          <w:rFonts w:ascii="Bookman Old Style" w:hAnsi="Bookman Old Style" w:cs="Arial"/>
          <w:color w:val="000000"/>
          <w:sz w:val="22"/>
          <w:szCs w:val="22"/>
        </w:rPr>
        <w:t>Zadanie II: pkt. 3.1 ppkt 9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>)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0D07FF">
        <w:rPr>
          <w:rFonts w:ascii="Bookman Old Style" w:hAnsi="Bookman Old Style"/>
          <w:sz w:val="23"/>
          <w:szCs w:val="23"/>
        </w:rPr>
        <w:t xml:space="preserve">poprzez </w:t>
      </w:r>
      <w:r>
        <w:rPr>
          <w:rFonts w:ascii="Bookman Old Style" w:hAnsi="Bookman Old Style"/>
          <w:sz w:val="23"/>
          <w:szCs w:val="23"/>
        </w:rPr>
        <w:t xml:space="preserve">zastąpienie </w:t>
      </w:r>
      <w:r w:rsidRPr="007D2ED3">
        <w:rPr>
          <w:rFonts w:ascii="Bookman Old Style" w:hAnsi="Bookman Old Style" w:cs="Arial"/>
          <w:sz w:val="23"/>
          <w:szCs w:val="23"/>
        </w:rPr>
        <w:t xml:space="preserve">w całości </w:t>
      </w:r>
      <w:r w:rsidRPr="00CF347A">
        <w:rPr>
          <w:rFonts w:ascii="Bookman Old Style" w:hAnsi="Bookman Old Style"/>
          <w:sz w:val="23"/>
          <w:szCs w:val="23"/>
        </w:rPr>
        <w:t>poprzedniego</w:t>
      </w:r>
      <w:r w:rsidRPr="007D2ED3">
        <w:rPr>
          <w:rFonts w:ascii="Bookman Old Style" w:hAnsi="Bookman Old Style" w:cs="Arial"/>
          <w:sz w:val="23"/>
          <w:szCs w:val="23"/>
        </w:rPr>
        <w:t xml:space="preserve"> zapisu poniższym:</w:t>
      </w:r>
    </w:p>
    <w:p w:rsidR="00A03D36" w:rsidRPr="00A03D36" w:rsidRDefault="00A03D36" w:rsidP="00A03D36">
      <w:pPr>
        <w:pStyle w:val="Akapitzlist"/>
        <w:tabs>
          <w:tab w:val="left" w:pos="0"/>
        </w:tabs>
        <w:spacing w:line="280" w:lineRule="exact"/>
        <w:ind w:left="360"/>
        <w:jc w:val="both"/>
        <w:rPr>
          <w:rFonts w:ascii="Bookman Old Style" w:hAnsi="Bookman Old Style" w:cs="Arial"/>
          <w:b/>
          <w:sz w:val="22"/>
          <w:szCs w:val="22"/>
        </w:rPr>
      </w:pPr>
      <w:r w:rsidRPr="00A03D36">
        <w:rPr>
          <w:rFonts w:ascii="Bookman Old Style" w:hAnsi="Bookman Old Style" w:cs="Arial"/>
          <w:b/>
          <w:color w:val="000000"/>
          <w:sz w:val="22"/>
          <w:szCs w:val="22"/>
        </w:rPr>
        <w:t xml:space="preserve">2) uderzenia pioruna rozumianego jako </w:t>
      </w:r>
      <w:r w:rsidRPr="00A03D36">
        <w:rPr>
          <w:rFonts w:ascii="Bookman Old Style" w:hAnsi="Bookman Old Style" w:cs="Arial"/>
          <w:b/>
          <w:sz w:val="22"/>
          <w:szCs w:val="22"/>
        </w:rPr>
        <w:t>gwałtowne wyładowanie elektryczne w atmosferze działające bezpośrednio na ubezpieczony przedmiot, pozostawiające bezsporne ślady tego zdarzenia;</w:t>
      </w:r>
    </w:p>
    <w:p w:rsidR="00A03D36" w:rsidRPr="00A03D36" w:rsidRDefault="00A03D36" w:rsidP="00A03D36">
      <w:pPr>
        <w:jc w:val="both"/>
        <w:rPr>
          <w:rFonts w:ascii="Bookman Old Style" w:hAnsi="Bookman Old Style" w:cs="Arial"/>
          <w:sz w:val="23"/>
          <w:szCs w:val="23"/>
        </w:rPr>
      </w:pPr>
    </w:p>
    <w:p w:rsidR="00A03D36" w:rsidRDefault="00A03D36" w:rsidP="00A03D36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>Zadanie II: pkt. 3.1 ppkt 2)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0D07FF">
        <w:rPr>
          <w:rFonts w:ascii="Bookman Old Style" w:hAnsi="Bookman Old Style"/>
          <w:sz w:val="23"/>
          <w:szCs w:val="23"/>
        </w:rPr>
        <w:t xml:space="preserve">poprzez </w:t>
      </w:r>
      <w:r>
        <w:rPr>
          <w:rFonts w:ascii="Bookman Old Style" w:hAnsi="Bookman Old Style"/>
          <w:sz w:val="23"/>
          <w:szCs w:val="23"/>
        </w:rPr>
        <w:t xml:space="preserve">zastąpienie </w:t>
      </w:r>
      <w:r w:rsidRPr="007D2ED3">
        <w:rPr>
          <w:rFonts w:ascii="Bookman Old Style" w:hAnsi="Bookman Old Style" w:cs="Arial"/>
          <w:sz w:val="23"/>
          <w:szCs w:val="23"/>
        </w:rPr>
        <w:t xml:space="preserve">w całości </w:t>
      </w:r>
      <w:r w:rsidRPr="00CF347A">
        <w:rPr>
          <w:rFonts w:ascii="Bookman Old Style" w:hAnsi="Bookman Old Style"/>
          <w:sz w:val="23"/>
          <w:szCs w:val="23"/>
        </w:rPr>
        <w:t>poprzedniego</w:t>
      </w:r>
      <w:r w:rsidRPr="007D2ED3">
        <w:rPr>
          <w:rFonts w:ascii="Bookman Old Style" w:hAnsi="Bookman Old Style" w:cs="Arial"/>
          <w:sz w:val="23"/>
          <w:szCs w:val="23"/>
        </w:rPr>
        <w:t xml:space="preserve"> zapisu poniższym:</w:t>
      </w:r>
    </w:p>
    <w:p w:rsidR="00A03D36" w:rsidRDefault="00A03D36" w:rsidP="00A03D36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9) naporu śniegu i lodu rozumianego jako bezpośrednie działanie ciężaru śniegu lub lodu na przedmiot ubezpieczenia albo przewrócenie się pod wpływem ciężaru śniegu lub lodu mienia sąs</w:t>
      </w:r>
      <w:r>
        <w:rPr>
          <w:rFonts w:ascii="Bookman Old Style" w:hAnsi="Bookman Old Style" w:cs="Arial"/>
          <w:b/>
          <w:sz w:val="22"/>
          <w:szCs w:val="22"/>
        </w:rPr>
        <w:t>iedniego na mienie ubezpieczone;</w:t>
      </w:r>
    </w:p>
    <w:p w:rsidR="00A03D36" w:rsidRPr="00A03D36" w:rsidRDefault="00A03D36" w:rsidP="00A03D36">
      <w:pPr>
        <w:jc w:val="both"/>
        <w:rPr>
          <w:rFonts w:ascii="Bookman Old Style" w:hAnsi="Bookman Old Style" w:cs="Arial"/>
          <w:sz w:val="23"/>
          <w:szCs w:val="23"/>
        </w:rPr>
      </w:pPr>
    </w:p>
    <w:p w:rsidR="007D2ED3" w:rsidRDefault="007D2ED3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="00055C8D" w:rsidRPr="00CA31F8">
        <w:rPr>
          <w:rFonts w:ascii="Bookman Old Style" w:hAnsi="Bookman Old Style" w:cs="Arial"/>
          <w:color w:val="000000"/>
          <w:sz w:val="22"/>
          <w:szCs w:val="22"/>
        </w:rPr>
        <w:t>Zadanie II-gie: 5. Klauzule wspólne (obligatoryjne) dla wszystkich ryzyk</w:t>
      </w:r>
      <w:r w:rsidR="00055C8D" w:rsidRPr="000D07FF">
        <w:rPr>
          <w:rFonts w:ascii="Bookman Old Style" w:hAnsi="Bookman Old Style"/>
          <w:sz w:val="23"/>
          <w:szCs w:val="23"/>
        </w:rPr>
        <w:t xml:space="preserve"> </w:t>
      </w:r>
      <w:r w:rsidR="00055C8D">
        <w:rPr>
          <w:rFonts w:ascii="Bookman Old Style" w:hAnsi="Bookman Old Style"/>
          <w:sz w:val="23"/>
          <w:szCs w:val="23"/>
        </w:rPr>
        <w:t xml:space="preserve">pkt 6.1 </w:t>
      </w:r>
      <w:r w:rsidRPr="000D07FF">
        <w:rPr>
          <w:rFonts w:ascii="Bookman Old Style" w:hAnsi="Bookman Old Style"/>
          <w:sz w:val="23"/>
          <w:szCs w:val="23"/>
        </w:rPr>
        <w:t xml:space="preserve">poprzez </w:t>
      </w:r>
      <w:r>
        <w:rPr>
          <w:rFonts w:ascii="Bookman Old Style" w:hAnsi="Bookman Old Style"/>
          <w:sz w:val="23"/>
          <w:szCs w:val="23"/>
        </w:rPr>
        <w:t xml:space="preserve">zastąpienie </w:t>
      </w:r>
      <w:r w:rsidRPr="007D2ED3">
        <w:rPr>
          <w:rFonts w:ascii="Bookman Old Style" w:hAnsi="Bookman Old Style" w:cs="Arial"/>
          <w:sz w:val="23"/>
          <w:szCs w:val="23"/>
        </w:rPr>
        <w:t xml:space="preserve">w całości </w:t>
      </w:r>
      <w:r w:rsidRPr="00CF347A">
        <w:rPr>
          <w:rFonts w:ascii="Bookman Old Style" w:hAnsi="Bookman Old Style"/>
          <w:sz w:val="23"/>
          <w:szCs w:val="23"/>
        </w:rPr>
        <w:t>poprzedniego</w:t>
      </w:r>
      <w:r w:rsidRPr="007D2ED3">
        <w:rPr>
          <w:rFonts w:ascii="Bookman Old Style" w:hAnsi="Bookman Old Style" w:cs="Arial"/>
          <w:sz w:val="23"/>
          <w:szCs w:val="23"/>
        </w:rPr>
        <w:t xml:space="preserve"> zapisu poniższym:</w:t>
      </w:r>
    </w:p>
    <w:p w:rsidR="00625415" w:rsidRDefault="00A03D36" w:rsidP="00055C8D">
      <w:pPr>
        <w:spacing w:line="280" w:lineRule="exact"/>
        <w:ind w:left="-35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6.1. </w:t>
      </w:r>
      <w:r w:rsidR="00055C8D" w:rsidRPr="008F0427">
        <w:rPr>
          <w:rFonts w:ascii="Bookman Old Style" w:hAnsi="Bookman Old Style" w:cs="Arial"/>
          <w:b/>
          <w:sz w:val="22"/>
          <w:szCs w:val="22"/>
        </w:rPr>
        <w:t xml:space="preserve">Klauzula stempla bankowego, uznająca jako dzień zapłaty dzień obciążenia rachunku Ubezpieczającego pełna należna kwotą składki lub ratą składki, zgodnie z harmonogramem płatności określonym w polisie lub innym dokumencie ubezpieczenia,  w przypadku gdy OWU </w:t>
      </w:r>
      <w:r w:rsidR="00055C8D" w:rsidRPr="008F0427">
        <w:rPr>
          <w:rFonts w:ascii="Bookman Old Style" w:hAnsi="Bookman Old Style"/>
          <w:b/>
          <w:sz w:val="22"/>
          <w:szCs w:val="22"/>
        </w:rPr>
        <w:t>stanowią</w:t>
      </w:r>
      <w:r w:rsidR="00055C8D" w:rsidRPr="008F0427">
        <w:rPr>
          <w:rFonts w:ascii="Bookman Old Style" w:hAnsi="Bookman Old Style" w:cs="Arial"/>
          <w:b/>
          <w:sz w:val="22"/>
          <w:szCs w:val="22"/>
        </w:rPr>
        <w:t xml:space="preserve"> o odmiennym zapisie.</w:t>
      </w:r>
    </w:p>
    <w:p w:rsidR="00055C8D" w:rsidRDefault="00055C8D" w:rsidP="00055C8D">
      <w:pPr>
        <w:spacing w:line="280" w:lineRule="exact"/>
        <w:ind w:left="-357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055C8D" w:rsidRDefault="00055C8D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>Zadanie II-gie: pkt. 3.1 ppkt 17) poprzez zastąpienie dotychczasowej treści w całości poniższym:</w:t>
      </w:r>
    </w:p>
    <w:p w:rsidR="00055C8D" w:rsidRDefault="00055C8D" w:rsidP="00055C8D">
      <w:pPr>
        <w:pStyle w:val="Akapitzlist"/>
        <w:ind w:left="36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055C8D" w:rsidRPr="008F0427" w:rsidRDefault="00055C8D" w:rsidP="00055C8D">
      <w:pPr>
        <w:tabs>
          <w:tab w:val="left" w:pos="227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17) oraz dodatkowo szkody spowodowane zalaniami z dowolnej przyczyny, innymi niż określone w definicji szkód wodociągowych (ryzyko pkt 16)), tj.:</w:t>
      </w:r>
    </w:p>
    <w:p w:rsidR="00055C8D" w:rsidRPr="008F0427" w:rsidRDefault="00055C8D" w:rsidP="00055C8D">
      <w:pPr>
        <w:numPr>
          <w:ilvl w:val="0"/>
          <w:numId w:val="7"/>
        </w:numPr>
        <w:tabs>
          <w:tab w:val="left" w:pos="227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wydostanie się cieczy/wody ze sprzętów zmechanizowanych i urządzeń (w szczególności</w:t>
      </w:r>
      <w:r w:rsidRPr="008F0427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8F0427">
        <w:rPr>
          <w:rFonts w:ascii="Bookman Old Style" w:hAnsi="Bookman Old Style" w:cs="Arial"/>
          <w:b/>
          <w:sz w:val="22"/>
          <w:szCs w:val="22"/>
        </w:rPr>
        <w:t>pralek, zmywarek, bojlerów, lodówek, zamrażarek, klimatyzatorów, itp. urządzeń),</w:t>
      </w:r>
    </w:p>
    <w:p w:rsidR="00055C8D" w:rsidRPr="008F0427" w:rsidRDefault="00055C8D" w:rsidP="00055C8D">
      <w:pPr>
        <w:numPr>
          <w:ilvl w:val="0"/>
          <w:numId w:val="7"/>
        </w:numPr>
        <w:tabs>
          <w:tab w:val="left" w:pos="227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wyciek cieczy lub pary z wyposażenia połączonego z systemem rur,</w:t>
      </w:r>
    </w:p>
    <w:p w:rsidR="00055C8D" w:rsidRPr="008F0427" w:rsidRDefault="00055C8D" w:rsidP="00055C8D">
      <w:pPr>
        <w:numPr>
          <w:ilvl w:val="0"/>
          <w:numId w:val="7"/>
        </w:numPr>
        <w:tabs>
          <w:tab w:val="left" w:pos="227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dostanie się wody spowodowane przez osoby trzecie, </w:t>
      </w:r>
    </w:p>
    <w:p w:rsidR="00055C8D" w:rsidRPr="008F0427" w:rsidRDefault="00055C8D" w:rsidP="00055C8D">
      <w:pPr>
        <w:numPr>
          <w:ilvl w:val="0"/>
          <w:numId w:val="7"/>
        </w:numPr>
        <w:tabs>
          <w:tab w:val="left" w:pos="227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dostanie się wody lub innego czynnika gaśniczego w następstwie prowadzenia akcji ratowniczej, </w:t>
      </w:r>
    </w:p>
    <w:p w:rsidR="00055C8D" w:rsidRPr="008F0427" w:rsidRDefault="00055C8D" w:rsidP="00055C8D">
      <w:pPr>
        <w:numPr>
          <w:ilvl w:val="0"/>
          <w:numId w:val="7"/>
        </w:numPr>
        <w:tabs>
          <w:tab w:val="left" w:pos="227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dostanie się wody pochodzącej z topniejących mas śniegu lub lodu, </w:t>
      </w:r>
    </w:p>
    <w:p w:rsidR="00055C8D" w:rsidRPr="008F0427" w:rsidRDefault="00055C8D" w:rsidP="00055C8D">
      <w:pPr>
        <w:numPr>
          <w:ilvl w:val="0"/>
          <w:numId w:val="7"/>
        </w:numPr>
        <w:tabs>
          <w:tab w:val="left" w:pos="227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wydostanie się wody z akwarium lub urządzeń zewnętrznych i wewnętrznych zasilających lub współpracujących z nim w wyniku uszkodzenia lub awarii.</w:t>
      </w:r>
    </w:p>
    <w:p w:rsidR="00055C8D" w:rsidRPr="00CA31F8" w:rsidRDefault="00055C8D" w:rsidP="00055C8D">
      <w:pPr>
        <w:tabs>
          <w:tab w:val="left" w:pos="227"/>
        </w:tabs>
        <w:autoSpaceDE w:val="0"/>
        <w:ind w:left="360"/>
        <w:jc w:val="both"/>
        <w:rPr>
          <w:rFonts w:ascii="Bookman Old Style" w:hAnsi="Bookman Old Style" w:cs="Arial"/>
          <w:b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lastRenderedPageBreak/>
        <w:t xml:space="preserve"> – </w:t>
      </w:r>
      <w:r w:rsidRPr="00CA31F8">
        <w:rPr>
          <w:rFonts w:ascii="Bookman Old Style" w:hAnsi="Bookman Old Style" w:cs="Arial"/>
          <w:b/>
          <w:sz w:val="22"/>
          <w:szCs w:val="22"/>
        </w:rPr>
        <w:t>limit na przedmiotowe ryzyko (określone pkt 17)) wynosi 50.000,- PLN na jedno i wszystkie zdarzenia w okresie ubezpieczenia; nie dotyczy szkód spowodowanych złym stanem technicznym dachu lub innych elementów budynku</w:t>
      </w:r>
      <w:r w:rsidRPr="00CA31F8">
        <w:rPr>
          <w:rFonts w:ascii="Bookman Old Style" w:hAnsi="Bookman Old Style" w:cs="Arial"/>
          <w:sz w:val="22"/>
          <w:szCs w:val="22"/>
        </w:rPr>
        <w:t xml:space="preserve"> </w:t>
      </w:r>
      <w:r w:rsidRPr="00CA31F8">
        <w:rPr>
          <w:rFonts w:ascii="Bookman Old Style" w:hAnsi="Bookman Old Style" w:cs="Arial"/>
          <w:b/>
          <w:sz w:val="22"/>
          <w:szCs w:val="22"/>
        </w:rPr>
        <w:t>oraz szkód do powstania których doszło na skutek niezabezpieczenia otworów okiennych i drzwiowych.</w:t>
      </w:r>
    </w:p>
    <w:p w:rsidR="00055C8D" w:rsidRPr="00055C8D" w:rsidRDefault="00055C8D" w:rsidP="00055C8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055C8D" w:rsidRDefault="00055C8D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 xml:space="preserve">Zadanie II-gie: </w:t>
      </w:r>
      <w:r w:rsidRPr="00CA31F8">
        <w:rPr>
          <w:rFonts w:ascii="Bookman Old Style" w:hAnsi="Bookman Old Style" w:cstheme="minorHAnsi"/>
          <w:sz w:val="22"/>
          <w:szCs w:val="22"/>
        </w:rPr>
        <w:t>pkt. 3.2 poprzez zastąpienie dotychczasowej treści w całości 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055C8D" w:rsidRPr="008F0427" w:rsidRDefault="00055C8D" w:rsidP="00055C8D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theme="minorHAnsi"/>
          <w:b/>
          <w:sz w:val="22"/>
          <w:szCs w:val="22"/>
        </w:rPr>
        <w:t>3.2 co najmniej</w:t>
      </w:r>
      <w:r w:rsidRPr="008F0427">
        <w:rPr>
          <w:rFonts w:ascii="Bookman Old Style" w:hAnsi="Bookman Old Style" w:cs="Arial"/>
          <w:b/>
          <w:sz w:val="22"/>
          <w:szCs w:val="22"/>
        </w:rPr>
        <w:t xml:space="preserve"> następujące koszty powstałe w związku z zaistniałym zdarzeniem losowym</w:t>
      </w:r>
      <w:r>
        <w:rPr>
          <w:rFonts w:ascii="Bookman Old Style" w:hAnsi="Bookman Old Style" w:cs="Arial"/>
          <w:b/>
          <w:sz w:val="22"/>
          <w:szCs w:val="22"/>
        </w:rPr>
        <w:t>, objętym ochroną</w:t>
      </w:r>
      <w:r w:rsidRPr="008F0427">
        <w:rPr>
          <w:rFonts w:ascii="Bookman Old Style" w:hAnsi="Bookman Old Style" w:cs="Arial"/>
          <w:b/>
          <w:sz w:val="22"/>
          <w:szCs w:val="22"/>
        </w:rPr>
        <w:t xml:space="preserve"> ubezpieczeniową:</w:t>
      </w:r>
    </w:p>
    <w:p w:rsidR="00055C8D" w:rsidRPr="008F0427" w:rsidRDefault="00055C8D" w:rsidP="00055C8D">
      <w:pPr>
        <w:numPr>
          <w:ilvl w:val="2"/>
          <w:numId w:val="10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usunięcia pozostałości po szkodzie, z wyłączeniem z ochrony kosztów związanych z usunięciem zanieczyszczeń wody lub gleby i jej rekultywacją; </w:t>
      </w:r>
    </w:p>
    <w:p w:rsidR="00055C8D" w:rsidRPr="008F0427" w:rsidRDefault="00055C8D" w:rsidP="00055C8D">
      <w:pPr>
        <w:numPr>
          <w:ilvl w:val="2"/>
          <w:numId w:val="10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zabezpieczenia mienia przed uszkodzeniem w sytuacji bezpośredniego zagrożenia powstałego w związku ze zdarzeniem losowym objętym zakresem ubezpieczenia, choćby okazały się nieskuteczne;</w:t>
      </w:r>
      <w:r>
        <w:rPr>
          <w:rFonts w:ascii="Bookman Old Style" w:hAnsi="Bookman Old Style" w:cs="Arial"/>
          <w:b/>
          <w:sz w:val="22"/>
          <w:szCs w:val="22"/>
        </w:rPr>
        <w:t xml:space="preserve"> przedmiotowe koszty winny </w:t>
      </w:r>
      <w:r w:rsidRPr="008F0427">
        <w:rPr>
          <w:rFonts w:ascii="Bookman Old Style" w:hAnsi="Bookman Old Style" w:cs="Arial"/>
          <w:b/>
          <w:sz w:val="22"/>
          <w:szCs w:val="22"/>
        </w:rPr>
        <w:t>być uzasadnione i udokumentowane</w:t>
      </w:r>
      <w:r>
        <w:rPr>
          <w:rFonts w:ascii="Bookman Old Style" w:hAnsi="Bookman Old Style" w:cs="Arial"/>
          <w:b/>
          <w:sz w:val="22"/>
          <w:szCs w:val="22"/>
        </w:rPr>
        <w:t>;</w:t>
      </w:r>
    </w:p>
    <w:p w:rsidR="00055C8D" w:rsidRPr="008F0427" w:rsidRDefault="00055C8D" w:rsidP="00055C8D">
      <w:pPr>
        <w:numPr>
          <w:ilvl w:val="2"/>
          <w:numId w:val="10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mające na celu niedopuszczenie do powiększenia strat;</w:t>
      </w:r>
      <w:r w:rsidRPr="00055C8D">
        <w:rPr>
          <w:rFonts w:ascii="Bookman Old Style" w:hAnsi="Bookman Old Style" w:cs="Arial"/>
          <w:b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 xml:space="preserve">przedmiotowe koszty winny </w:t>
      </w:r>
      <w:r w:rsidRPr="008F0427">
        <w:rPr>
          <w:rFonts w:ascii="Bookman Old Style" w:hAnsi="Bookman Old Style" w:cs="Arial"/>
          <w:b/>
          <w:sz w:val="22"/>
          <w:szCs w:val="22"/>
        </w:rPr>
        <w:t>być uzasadnione i udokumentowane</w:t>
      </w:r>
      <w:r>
        <w:rPr>
          <w:rFonts w:ascii="Bookman Old Style" w:hAnsi="Bookman Old Style" w:cs="Arial"/>
          <w:b/>
          <w:sz w:val="22"/>
          <w:szCs w:val="22"/>
        </w:rPr>
        <w:t>;</w:t>
      </w:r>
    </w:p>
    <w:p w:rsidR="00055C8D" w:rsidRPr="00055C8D" w:rsidRDefault="00055C8D" w:rsidP="00055C8D">
      <w:pPr>
        <w:numPr>
          <w:ilvl w:val="2"/>
          <w:numId w:val="10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055C8D">
        <w:rPr>
          <w:rFonts w:ascii="Bookman Old Style" w:hAnsi="Bookman Old Style" w:cs="Arial"/>
          <w:b/>
          <w:sz w:val="22"/>
          <w:szCs w:val="22"/>
        </w:rPr>
        <w:t>z akcją ratowniczą mienia dotkniętego szkodą, w tym gaszeniem, rozbiórką, ewakuacją, transportem, składowaniem zastępczym, itp.; przedmiotowe koszty winny być uzasadnione i udokumentowane;  Ochrona ubezpieczeniowa obejmuje koszty transportu zwyczajowo stosowanego przy danym rodzaju przedmiotu ubezpieczenia, z wyłączeniem transportu lotniczego lub ekspresowego; Ochroną objęte są koszty ewakuacji pacjentów oraz sprzętu medycznego, poniesione w wyniku zagrożenia ryzykami, objętymi umową ubezpieczenia mienia od pożaru i innych zdarzeń losowych,  pod warunkiem, iż niebezpieczeństwo to będzie wydawało się realne. Z ochrony wyłączone są koszty ponoszone zgodnie z treścią klauzuli wskazanej w pkt. 3.11.3.; Za koszty ewakuacji uważa się poniesione i udokumentowane koszty związane z:</w:t>
      </w:r>
    </w:p>
    <w:p w:rsidR="00055C8D" w:rsidRPr="008F0427" w:rsidRDefault="00055C8D" w:rsidP="00055C8D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transportem pacjentów, </w:t>
      </w:r>
    </w:p>
    <w:p w:rsidR="00055C8D" w:rsidRPr="008F0427" w:rsidRDefault="00055C8D" w:rsidP="00055C8D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transportem sprzętu medycznego,</w:t>
      </w:r>
    </w:p>
    <w:p w:rsidR="00055C8D" w:rsidRPr="008F0427" w:rsidRDefault="00055C8D" w:rsidP="00055C8D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magazynowaniem/przechowywaniem sprzętu medycznego w czasie koniecznym dla czynności ewakuacyjnych, </w:t>
      </w:r>
    </w:p>
    <w:p w:rsidR="00055C8D" w:rsidRPr="008F0427" w:rsidRDefault="00055C8D" w:rsidP="00055C8D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dozorem sprzętu medycznego przez wyspecjalizowane podmioty, </w:t>
      </w:r>
    </w:p>
    <w:p w:rsidR="00055C8D" w:rsidRDefault="00055C8D" w:rsidP="00055C8D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>pobytem ewakuowanych pacjentów w zastępczych placówkach w okresie do jednej doby licząc od momentu zakwaterowania, z zastrzeżeniem iż koszty pobytu jednego pacjenta nie mogą przekroczyć 100 zł za dobę. Limit odpowiedzialności na jedno i wszystkie zdarzenia w okresie ubezpieczenia wynosi 30.000 zł.</w:t>
      </w:r>
    </w:p>
    <w:p w:rsidR="00055C8D" w:rsidRDefault="00055C8D" w:rsidP="00055C8D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055C8D">
        <w:rPr>
          <w:rFonts w:ascii="Bookman Old Style" w:hAnsi="Bookman Old Style" w:cs="Arial"/>
          <w:b/>
          <w:sz w:val="22"/>
          <w:szCs w:val="22"/>
        </w:rPr>
        <w:t>Ubezpieczyciel pokrywa powyższe koszty wyłącznie w sytuacji gdy ewakuacja przeprowadzona została na polecenie Policji, Straży Pożarnej lub Straży Miejskiej oraz odbywała się pod kierunkiem lub w obecności ww. służb.</w:t>
      </w:r>
    </w:p>
    <w:p w:rsidR="00055C8D" w:rsidRPr="00055C8D" w:rsidRDefault="00055C8D" w:rsidP="00055C8D">
      <w:pPr>
        <w:numPr>
          <w:ilvl w:val="2"/>
          <w:numId w:val="10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055C8D">
        <w:rPr>
          <w:rFonts w:ascii="Bookman Old Style" w:hAnsi="Bookman Old Style" w:cs="Arial"/>
          <w:b/>
          <w:sz w:val="22"/>
          <w:szCs w:val="22"/>
        </w:rPr>
        <w:t>Dokumentacja kosztów odbywa się na podstawie dostarczonych przez Poszkodowanego dokumentów, takich jak:  faktura, rachunek, nota, dokument wewnętrzny oraz jakikolwiek inny dokument pisemny potwierdzający poniesienie wydatku.</w:t>
      </w:r>
    </w:p>
    <w:p w:rsidR="00055C8D" w:rsidRPr="008F0427" w:rsidRDefault="00055C8D" w:rsidP="00055C8D">
      <w:pPr>
        <w:numPr>
          <w:ilvl w:val="2"/>
          <w:numId w:val="10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8F0427">
        <w:rPr>
          <w:rFonts w:ascii="Bookman Old Style" w:hAnsi="Bookman Old Style" w:cs="Arial"/>
          <w:b/>
          <w:sz w:val="22"/>
          <w:szCs w:val="22"/>
        </w:rPr>
        <w:t xml:space="preserve">przedmiotowe ww. koszty do wysokości 10% sumy ubezpieczenia mienia bezpośrednio zagrożonego/dotkniętego szkodą, nie więcej niż 250.000,-PLN ponad obowiązujące limity/kwoty określone OWU; </w:t>
      </w:r>
      <w:r w:rsidRPr="008F0427">
        <w:rPr>
          <w:rFonts w:ascii="Bookman Old Style" w:hAnsi="Bookman Old Style" w:cs="Arial"/>
          <w:b/>
          <w:sz w:val="22"/>
          <w:szCs w:val="22"/>
        </w:rPr>
        <w:lastRenderedPageBreak/>
        <w:t>konsumpcja ustanowionego limitu następować będzie dopiero po wyczerpaniu się kwot i/lub limitów określonych OWU;</w:t>
      </w:r>
    </w:p>
    <w:p w:rsidR="00055C8D" w:rsidRPr="00055C8D" w:rsidRDefault="00055C8D" w:rsidP="00055C8D">
      <w:pPr>
        <w:spacing w:line="280" w:lineRule="exact"/>
        <w:ind w:left="-357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055C8D" w:rsidRPr="00055C8D" w:rsidRDefault="00055C8D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 xml:space="preserve">Zadanie II-gie: </w:t>
      </w:r>
      <w:r>
        <w:rPr>
          <w:rFonts w:ascii="Bookman Old Style" w:hAnsi="Bookman Old Style" w:cstheme="minorHAnsi"/>
          <w:sz w:val="22"/>
          <w:szCs w:val="22"/>
        </w:rPr>
        <w:t>pkt. 3.3</w:t>
      </w:r>
      <w:r w:rsidRPr="00CA31F8">
        <w:rPr>
          <w:rFonts w:ascii="Bookman Old Style" w:hAnsi="Bookman Old Style" w:cstheme="minorHAnsi"/>
          <w:sz w:val="22"/>
          <w:szCs w:val="22"/>
        </w:rPr>
        <w:t xml:space="preserve"> poprzez zastąpienie dotychczasowej treści w całości 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055C8D" w:rsidRPr="00055C8D" w:rsidRDefault="00055C8D" w:rsidP="00055C8D">
      <w:p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055C8D">
        <w:rPr>
          <w:rFonts w:ascii="Bookman Old Style" w:hAnsi="Bookman Old Style" w:cs="Arial"/>
          <w:b/>
          <w:sz w:val="22"/>
          <w:szCs w:val="22"/>
        </w:rPr>
        <w:t>3.3 Udział własny/franszyza redukcyjna: 500,- PLN w każdej szkodzie; dla szkód w sprzęcie medycznym w wysokości 1.000,- PLN w każdej szkodzie, chyba że w poszczególnych opcjach/klauzulach wprowadzono inaczej;</w:t>
      </w:r>
    </w:p>
    <w:p w:rsidR="00055C8D" w:rsidRPr="00055C8D" w:rsidRDefault="00055C8D" w:rsidP="00055C8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055C8D" w:rsidRPr="00055C8D" w:rsidRDefault="00055C8D" w:rsidP="00055C8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 xml:space="preserve">Zadanie II-gie: </w:t>
      </w:r>
      <w:r>
        <w:rPr>
          <w:rFonts w:ascii="Bookman Old Style" w:hAnsi="Bookman Old Style" w:cstheme="minorHAnsi"/>
          <w:sz w:val="22"/>
          <w:szCs w:val="22"/>
        </w:rPr>
        <w:t>pkt. 3.</w:t>
      </w:r>
      <w:r w:rsidR="007224EE">
        <w:rPr>
          <w:rFonts w:ascii="Bookman Old Style" w:hAnsi="Bookman Old Style" w:cstheme="minorHAnsi"/>
          <w:sz w:val="22"/>
          <w:szCs w:val="22"/>
        </w:rPr>
        <w:t>9</w:t>
      </w:r>
      <w:r w:rsidRPr="00CA31F8">
        <w:rPr>
          <w:rFonts w:ascii="Bookman Old Style" w:hAnsi="Bookman Old Style" w:cstheme="minorHAnsi"/>
          <w:sz w:val="22"/>
          <w:szCs w:val="22"/>
        </w:rPr>
        <w:t xml:space="preserve"> poprzez zastąpienie dotychczasowej treści w całości 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7224EE" w:rsidRPr="007224EE" w:rsidRDefault="001936EB" w:rsidP="007224EE">
      <w:pPr>
        <w:pStyle w:val="Akapitzlist"/>
        <w:numPr>
          <w:ilvl w:val="1"/>
          <w:numId w:val="13"/>
        </w:numPr>
        <w:tabs>
          <w:tab w:val="left" w:pos="227"/>
        </w:tabs>
        <w:autoSpaceDE w:val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Dopuszcza się zastosowanie wyłączenia za szkody spowodowane przez:</w:t>
      </w:r>
    </w:p>
    <w:p w:rsidR="007224EE" w:rsidRPr="00CA31F8" w:rsidRDefault="007224EE" w:rsidP="007224EE">
      <w:pPr>
        <w:pStyle w:val="Akapitzlist"/>
        <w:numPr>
          <w:ilvl w:val="2"/>
          <w:numId w:val="13"/>
        </w:numPr>
        <w:tabs>
          <w:tab w:val="left" w:pos="227"/>
        </w:tabs>
        <w:autoSpaceDE w:val="0"/>
        <w:jc w:val="both"/>
        <w:rPr>
          <w:rFonts w:ascii="Bookman Old Style" w:hAnsi="Bookman Old Style"/>
          <w:b/>
          <w:sz w:val="22"/>
          <w:szCs w:val="22"/>
        </w:rPr>
      </w:pPr>
      <w:r w:rsidRPr="00CA31F8">
        <w:rPr>
          <w:rFonts w:ascii="Bookman Old Style" w:hAnsi="Bookman Old Style"/>
          <w:b/>
          <w:sz w:val="22"/>
          <w:szCs w:val="22"/>
        </w:rPr>
        <w:t>wybuch spowodowany w celach produkcyjnych, eksploatacyjnych lub innych oraz w silnikach spalinowych, gdy wybuch spowodowany jest z ich naturaln</w:t>
      </w:r>
      <w:r>
        <w:rPr>
          <w:rFonts w:ascii="Bookman Old Style" w:hAnsi="Bookman Old Style"/>
          <w:b/>
          <w:sz w:val="22"/>
          <w:szCs w:val="22"/>
        </w:rPr>
        <w:t>ą</w:t>
      </w:r>
      <w:r w:rsidRPr="00CA31F8">
        <w:rPr>
          <w:rFonts w:ascii="Bookman Old Style" w:hAnsi="Bookman Old Style"/>
          <w:b/>
          <w:sz w:val="22"/>
          <w:szCs w:val="22"/>
        </w:rPr>
        <w:t xml:space="preserve"> funkcją lub gdy wybuch spowodowany został normalnym ciśnieniem zawartych w nich gazów;</w:t>
      </w:r>
    </w:p>
    <w:p w:rsidR="007224EE" w:rsidRPr="007224EE" w:rsidRDefault="007224EE" w:rsidP="007224EE">
      <w:pPr>
        <w:pStyle w:val="Akapitzlist"/>
        <w:numPr>
          <w:ilvl w:val="2"/>
          <w:numId w:val="13"/>
        </w:numPr>
        <w:tabs>
          <w:tab w:val="left" w:pos="227"/>
        </w:tabs>
        <w:autoSpaceDE w:val="0"/>
        <w:jc w:val="both"/>
        <w:rPr>
          <w:rFonts w:ascii="Bookman Old Style" w:hAnsi="Bookman Old Style"/>
          <w:b/>
          <w:sz w:val="22"/>
          <w:szCs w:val="22"/>
        </w:rPr>
      </w:pPr>
      <w:r w:rsidRPr="00711D7D">
        <w:rPr>
          <w:rFonts w:ascii="Bookman Old Style" w:hAnsi="Bookman Old Style"/>
          <w:b/>
          <w:sz w:val="22"/>
          <w:szCs w:val="22"/>
        </w:rPr>
        <w:t xml:space="preserve">wskutek działania prądu elektrycznego przez opalenie, chyba że opalenie nastąpiło jako skutek pożaru, uderzenia pioruna; </w:t>
      </w:r>
    </w:p>
    <w:p w:rsidR="00055C8D" w:rsidRDefault="00055C8D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7224EE" w:rsidRPr="00055C8D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 xml:space="preserve">Zadanie II-gie: </w:t>
      </w:r>
      <w:r>
        <w:rPr>
          <w:rFonts w:ascii="Bookman Old Style" w:hAnsi="Bookman Old Style" w:cstheme="minorHAnsi"/>
          <w:sz w:val="22"/>
          <w:szCs w:val="22"/>
        </w:rPr>
        <w:t xml:space="preserve">pkt. 3.11.4. </w:t>
      </w:r>
      <w:r w:rsidRPr="00CA31F8">
        <w:rPr>
          <w:rFonts w:ascii="Bookman Old Style" w:hAnsi="Bookman Old Style" w:cstheme="minorHAnsi"/>
          <w:sz w:val="22"/>
          <w:szCs w:val="22"/>
        </w:rPr>
        <w:t xml:space="preserve"> poprzez zastąpienie dotychczasowej treści w całości 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7224EE" w:rsidRPr="00CA31F8" w:rsidRDefault="007224EE" w:rsidP="007224EE">
      <w:pPr>
        <w:pStyle w:val="Akapitzlist"/>
        <w:numPr>
          <w:ilvl w:val="2"/>
          <w:numId w:val="14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CA31F8">
        <w:rPr>
          <w:rFonts w:ascii="Bookman Old Style" w:hAnsi="Bookman Old Style" w:cs="Arial"/>
          <w:b/>
          <w:sz w:val="22"/>
          <w:szCs w:val="22"/>
        </w:rPr>
        <w:t>klauzula dewastacji - rozszerzenie zakresu ubezpieczenia o szkody związane ze zniszczeniem, celowym uszkodzeniem mienia przez osoby trzecie dokonanym wewnątrz i na zewnątrz ubezpieczonych budynków i/lub lokali; przez dewastację rozumieć należy także akty graffiti (pomalowania) ubezpieczonego mienia; limit odpowiedzialności 50.000,- PLN na zdarzenie i w rocznym agregacie; dla graffiti podlimit odpowiedzialności na zdarzenie i w rocznym agregacie w wysokości 5.000,- PLN; nie dotyczy obiektów opuszczonych i nie wykorzystywanych przez okres dłuższy niż 30 dni;</w:t>
      </w:r>
    </w:p>
    <w:p w:rsidR="007224EE" w:rsidRDefault="007224EE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7224EE" w:rsidRPr="00055C8D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 xml:space="preserve">Zadanie II-gie: </w:t>
      </w:r>
      <w:r>
        <w:rPr>
          <w:rFonts w:ascii="Bookman Old Style" w:hAnsi="Bookman Old Style" w:cstheme="minorHAnsi"/>
          <w:sz w:val="22"/>
          <w:szCs w:val="22"/>
        </w:rPr>
        <w:t xml:space="preserve">pkt. 3.11.7. </w:t>
      </w:r>
      <w:r w:rsidRPr="00CA31F8">
        <w:rPr>
          <w:rFonts w:ascii="Bookman Old Style" w:hAnsi="Bookman Old Style" w:cstheme="minorHAnsi"/>
          <w:sz w:val="22"/>
          <w:szCs w:val="22"/>
        </w:rPr>
        <w:t xml:space="preserve"> poprzez zastąpienie dotychczasowej treści w całości 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7224EE" w:rsidRPr="007224EE" w:rsidRDefault="007224EE" w:rsidP="007224EE">
      <w:pPr>
        <w:pStyle w:val="Akapitzlist"/>
        <w:numPr>
          <w:ilvl w:val="2"/>
          <w:numId w:val="16"/>
        </w:num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7224EE">
        <w:rPr>
          <w:rFonts w:ascii="Bookman Old Style" w:hAnsi="Bookman Old Style" w:cs="Arial"/>
          <w:b/>
          <w:sz w:val="22"/>
          <w:szCs w:val="22"/>
        </w:rPr>
        <w:t>klauzula VAT – wypłata należnego odszkodowania obejmować będzie także podatek VAT, jeśli zgodnie z odpowiednimi przepisami Ubezpieczonemu nie przysługuje prawo odliczenia podatku VAT oraz po przedstawieniu oryginału faktury VAT lub oświadczenia o braku uprawnienia do odliczenia podatku VAT i pod warunkiem że suma ubezpieczenia będzie również zawierała ww. podatek.</w:t>
      </w:r>
    </w:p>
    <w:p w:rsidR="007224EE" w:rsidRDefault="007224EE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7224EE" w:rsidRPr="00055C8D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 xml:space="preserve">Zadanie II-gie: </w:t>
      </w:r>
      <w:r>
        <w:rPr>
          <w:rFonts w:ascii="Bookman Old Style" w:hAnsi="Bookman Old Style" w:cstheme="minorHAnsi"/>
          <w:sz w:val="22"/>
          <w:szCs w:val="22"/>
        </w:rPr>
        <w:t xml:space="preserve">pkt. 3.11.11. </w:t>
      </w:r>
      <w:r w:rsidRPr="00CA31F8">
        <w:rPr>
          <w:rFonts w:ascii="Bookman Old Style" w:hAnsi="Bookman Old Style" w:cstheme="minorHAnsi"/>
          <w:sz w:val="22"/>
          <w:szCs w:val="22"/>
        </w:rPr>
        <w:t xml:space="preserve"> poprzez zastąpienie dotychczasowej treści w całości 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7224EE" w:rsidRPr="007224EE" w:rsidRDefault="007224EE" w:rsidP="007224EE">
      <w:pPr>
        <w:spacing w:line="280" w:lineRule="exact"/>
        <w:ind w:right="-108"/>
        <w:jc w:val="both"/>
        <w:rPr>
          <w:rFonts w:ascii="Bookman Old Style" w:hAnsi="Bookman Old Style" w:cs="Arial"/>
          <w:b/>
          <w:sz w:val="22"/>
          <w:szCs w:val="22"/>
        </w:rPr>
      </w:pPr>
      <w:r w:rsidRPr="007224EE">
        <w:rPr>
          <w:rFonts w:ascii="Bookman Old Style" w:hAnsi="Bookman Old Style" w:cs="Arial"/>
          <w:b/>
          <w:sz w:val="22"/>
          <w:szCs w:val="22"/>
        </w:rPr>
        <w:t>3.11.11. klauzula kosztów poszukiwania miejsca wycieku i usunięcia awarii  w brzmieniu: Z zachowaniem pozostałych, nie zmienionych niniejszą klauzulą postanowień ogólnych warunków ubezpieczenia i innych postanowień umowy ubezpieczenia ustala się, że ochrona ubezpieczeniowa obejmuje koszty poszukiwania wycieków z instalacji wodno-kanalizacyjnej oraz usunięcia skutków takich poszukiwań.</w:t>
      </w:r>
    </w:p>
    <w:p w:rsidR="007224EE" w:rsidRDefault="007224EE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7224EE" w:rsidRPr="007224EE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>Zadanie II-gie: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pkt 4.8.3. </w:t>
      </w:r>
      <w:r w:rsidRPr="00775683">
        <w:rPr>
          <w:rFonts w:ascii="Bookman Old Style" w:hAnsi="Bookman Old Style" w:cs="Arial"/>
          <w:sz w:val="22"/>
          <w:szCs w:val="22"/>
        </w:rPr>
        <w:t>poprzez z</w:t>
      </w:r>
      <w:r>
        <w:rPr>
          <w:rFonts w:ascii="Bookman Old Style" w:hAnsi="Bookman Old Style" w:cs="Arial"/>
          <w:sz w:val="22"/>
          <w:szCs w:val="22"/>
        </w:rPr>
        <w:t xml:space="preserve">astąpienie dotychczasowej treści </w:t>
      </w:r>
      <w:r w:rsidRPr="00775683">
        <w:rPr>
          <w:rFonts w:ascii="Bookman Old Style" w:hAnsi="Bookman Old Style" w:cs="Arial"/>
          <w:sz w:val="22"/>
          <w:szCs w:val="22"/>
        </w:rPr>
        <w:t xml:space="preserve">w całości </w:t>
      </w:r>
      <w:r w:rsidRPr="00CA31F8">
        <w:rPr>
          <w:rFonts w:ascii="Bookman Old Style" w:hAnsi="Bookman Old Style" w:cstheme="minorHAnsi"/>
          <w:sz w:val="22"/>
          <w:szCs w:val="22"/>
        </w:rPr>
        <w:t>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7224EE" w:rsidRPr="007224EE" w:rsidRDefault="007224EE" w:rsidP="007224EE">
      <w:p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7224EE">
        <w:rPr>
          <w:rFonts w:ascii="Bookman Old Style" w:hAnsi="Bookman Old Style" w:cs="Arial"/>
          <w:b/>
          <w:sz w:val="22"/>
          <w:szCs w:val="22"/>
        </w:rPr>
        <w:t xml:space="preserve">4.8.3 klauzula VAT – wypłata należnego odszkodowania obejmować będzie także podatek VAT, </w:t>
      </w:r>
      <w:r w:rsidR="00A03D36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224EE">
        <w:rPr>
          <w:rFonts w:ascii="Bookman Old Style" w:hAnsi="Bookman Old Style" w:cs="Arial"/>
          <w:b/>
          <w:sz w:val="22"/>
          <w:szCs w:val="22"/>
        </w:rPr>
        <w:t xml:space="preserve">jeśli zgodnie z odpowiednimi przepisami Ubezpieczonemu </w:t>
      </w:r>
      <w:r w:rsidRPr="007224EE">
        <w:rPr>
          <w:rFonts w:ascii="Bookman Old Style" w:hAnsi="Bookman Old Style" w:cs="Arial"/>
          <w:b/>
          <w:sz w:val="22"/>
          <w:szCs w:val="22"/>
        </w:rPr>
        <w:lastRenderedPageBreak/>
        <w:t>nie przysługuje prawo odliczenia podatku VAT oraz po przedstawieniu oryginału faktury VAT lub oświadczenia o braku uprawnienia do odliczenia podatku VAT i pod warunkiem że suma ubezpieczenia będzie również zawierała ww. podatek.</w:t>
      </w:r>
    </w:p>
    <w:p w:rsidR="007224EE" w:rsidRPr="007224EE" w:rsidRDefault="007224EE" w:rsidP="007224EE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7224EE" w:rsidRPr="007224EE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  <w:sz w:val="23"/>
          <w:szCs w:val="23"/>
        </w:rPr>
        <w:t xml:space="preserve">Zmianie ulega </w:t>
      </w:r>
      <w:r w:rsidRPr="00CA31F8">
        <w:rPr>
          <w:rFonts w:ascii="Bookman Old Style" w:hAnsi="Bookman Old Style" w:cs="Arial"/>
          <w:color w:val="000000"/>
          <w:sz w:val="22"/>
          <w:szCs w:val="22"/>
        </w:rPr>
        <w:t>Zadanie II-gie: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pkt 4.5. </w:t>
      </w:r>
      <w:r w:rsidRPr="00775683">
        <w:rPr>
          <w:rFonts w:ascii="Bookman Old Style" w:hAnsi="Bookman Old Style" w:cs="Arial"/>
          <w:sz w:val="22"/>
          <w:szCs w:val="22"/>
        </w:rPr>
        <w:t>ppkt e) poprzez z</w:t>
      </w:r>
      <w:r>
        <w:rPr>
          <w:rFonts w:ascii="Bookman Old Style" w:hAnsi="Bookman Old Style" w:cs="Arial"/>
          <w:sz w:val="22"/>
          <w:szCs w:val="22"/>
        </w:rPr>
        <w:t xml:space="preserve">astąpienie dotychczasowej treści </w:t>
      </w:r>
      <w:r w:rsidRPr="00775683">
        <w:rPr>
          <w:rFonts w:ascii="Bookman Old Style" w:hAnsi="Bookman Old Style" w:cs="Arial"/>
          <w:sz w:val="22"/>
          <w:szCs w:val="22"/>
        </w:rPr>
        <w:t xml:space="preserve">w całości </w:t>
      </w:r>
      <w:r w:rsidRPr="00CA31F8">
        <w:rPr>
          <w:rFonts w:ascii="Bookman Old Style" w:hAnsi="Bookman Old Style" w:cstheme="minorHAnsi"/>
          <w:sz w:val="22"/>
          <w:szCs w:val="22"/>
        </w:rPr>
        <w:t>poniższym</w:t>
      </w:r>
      <w:r>
        <w:rPr>
          <w:rFonts w:ascii="Bookman Old Style" w:hAnsi="Bookman Old Style" w:cstheme="minorHAnsi"/>
          <w:sz w:val="22"/>
          <w:szCs w:val="22"/>
        </w:rPr>
        <w:t>:</w:t>
      </w:r>
    </w:p>
    <w:p w:rsidR="007224EE" w:rsidRDefault="007224EE" w:rsidP="007224EE">
      <w:pPr>
        <w:tabs>
          <w:tab w:val="left" w:pos="360"/>
        </w:tabs>
        <w:autoSpaceDE w:val="0"/>
        <w:jc w:val="both"/>
        <w:rPr>
          <w:rFonts w:ascii="Bookman Old Style" w:eastAsia="Arial Unicode MS" w:hAnsi="Bookman Old Style" w:cs="Arial"/>
          <w:b/>
          <w:sz w:val="22"/>
          <w:szCs w:val="22"/>
        </w:rPr>
      </w:pPr>
    </w:p>
    <w:p w:rsidR="007224EE" w:rsidRPr="00CA31F8" w:rsidRDefault="007224EE" w:rsidP="007224EE">
      <w:pPr>
        <w:tabs>
          <w:tab w:val="left" w:pos="360"/>
        </w:tabs>
        <w:autoSpaceDE w:val="0"/>
        <w:jc w:val="both"/>
        <w:rPr>
          <w:rFonts w:ascii="Bookman Old Style" w:eastAsia="Arial Unicode MS" w:hAnsi="Bookman Old Style" w:cs="Arial"/>
          <w:b/>
          <w:sz w:val="22"/>
          <w:szCs w:val="22"/>
        </w:rPr>
      </w:pPr>
      <w:r w:rsidRPr="00CA31F8">
        <w:rPr>
          <w:rFonts w:ascii="Bookman Old Style" w:eastAsia="Arial Unicode MS" w:hAnsi="Bookman Old Style" w:cs="Arial"/>
          <w:b/>
          <w:sz w:val="22"/>
          <w:szCs w:val="22"/>
        </w:rPr>
        <w:t>Kradzież zwykła</w:t>
      </w:r>
    </w:p>
    <w:p w:rsidR="007224EE" w:rsidRPr="00CA31F8" w:rsidRDefault="007224EE" w:rsidP="007224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CA31F8">
        <w:rPr>
          <w:rFonts w:ascii="Bookman Old Style" w:hAnsi="Bookman Old Style" w:cs="Arial"/>
          <w:b/>
          <w:sz w:val="22"/>
          <w:szCs w:val="22"/>
        </w:rPr>
        <w:t>rozszerza się zakres ochrony ubezpieczeniowej o ryzyko „kradzieży zwykłej„ ubezpieczonych przedmiotów w czasie, kiedy znajdują się w miejscu ubezpieczenia i rozumianej jako nie pozostawiający widocznych śladów włamania zabór mienia w celu jego przywłaszczenia i nie wynikający ze stwierdzonych  niedoborów inwentarzowych stwierdzonych podczas inwentaryzacji, z wyłączeniem wartości pieniężnych; Ubezpieczający ma obowiązek zawiadomić o tym fakcie Policję bezzwłocznie po stwierdzeniu faktu wystąpienia kradzieży;</w:t>
      </w:r>
    </w:p>
    <w:p w:rsidR="007224EE" w:rsidRPr="00CA31F8" w:rsidRDefault="007224EE" w:rsidP="007224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CA31F8">
        <w:rPr>
          <w:rFonts w:ascii="Bookman Old Style" w:hAnsi="Bookman Old Style" w:cs="Arial"/>
          <w:b/>
          <w:sz w:val="22"/>
          <w:szCs w:val="22"/>
        </w:rPr>
        <w:t>przez wartości pieniężne rozumie się krajowe i zagraniczne znaki pieniężne (gotówka i jej substytuty m.in. karty płatnicze, karty rabatowe, bilety, kupony, żetony, karty pre-paid, karnety itp.), czeki, weksle i inne dokumenty zastępujące w obrocie gotówkę oraz złoto, srebro, a także platyna i inne metale z grupy platynowców oraz wyroby z wszystkich wymienionych wcześniej metali, kamienie szlachetne i perły,</w:t>
      </w:r>
    </w:p>
    <w:p w:rsidR="007224EE" w:rsidRPr="00CA31F8" w:rsidRDefault="007224EE" w:rsidP="007224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CA31F8">
        <w:rPr>
          <w:rFonts w:ascii="Bookman Old Style" w:hAnsi="Bookman Old Style" w:cs="Arial"/>
          <w:b/>
          <w:sz w:val="22"/>
          <w:szCs w:val="22"/>
        </w:rPr>
        <w:t>franszyza redukcyjna w każdej szkodzie w wysokości 500,-PLN.</w:t>
      </w:r>
    </w:p>
    <w:p w:rsidR="007224EE" w:rsidRDefault="007224EE" w:rsidP="007224EE">
      <w:pPr>
        <w:jc w:val="both"/>
        <w:rPr>
          <w:rFonts w:ascii="Bookman Old Style" w:hAnsi="Bookman Old Style"/>
          <w:sz w:val="23"/>
          <w:szCs w:val="23"/>
        </w:rPr>
      </w:pPr>
    </w:p>
    <w:p w:rsidR="007224EE" w:rsidRPr="007224EE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224EE">
        <w:rPr>
          <w:rFonts w:ascii="Bookman Old Style" w:hAnsi="Bookman Old Style"/>
          <w:sz w:val="23"/>
          <w:szCs w:val="23"/>
        </w:rPr>
        <w:t xml:space="preserve">Zmianie ulega 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 xml:space="preserve">Zadanie II-gie: pkt </w:t>
      </w:r>
      <w:r>
        <w:rPr>
          <w:rFonts w:ascii="Bookman Old Style" w:hAnsi="Bookman Old Style" w:cs="Arial"/>
          <w:color w:val="000000"/>
          <w:sz w:val="22"/>
          <w:szCs w:val="22"/>
        </w:rPr>
        <w:t>6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 xml:space="preserve">.5. </w:t>
      </w:r>
      <w:r w:rsidRPr="007224EE">
        <w:rPr>
          <w:rFonts w:ascii="Bookman Old Style" w:hAnsi="Bookman Old Style" w:cs="Arial"/>
          <w:sz w:val="22"/>
          <w:szCs w:val="22"/>
        </w:rPr>
        <w:t xml:space="preserve">poprzez zastąpienie dotychczasowej treści w całości </w:t>
      </w:r>
      <w:r w:rsidRPr="007224EE">
        <w:rPr>
          <w:rFonts w:ascii="Bookman Old Style" w:hAnsi="Bookman Old Style"/>
          <w:sz w:val="23"/>
          <w:szCs w:val="23"/>
        </w:rPr>
        <w:t>poniższym</w:t>
      </w:r>
      <w:r w:rsidRPr="007224EE">
        <w:rPr>
          <w:rFonts w:ascii="Bookman Old Style" w:hAnsi="Bookman Old Style" w:cstheme="minorHAnsi"/>
          <w:sz w:val="22"/>
          <w:szCs w:val="22"/>
        </w:rPr>
        <w:t>:</w:t>
      </w:r>
    </w:p>
    <w:p w:rsidR="007224EE" w:rsidRPr="00CA31F8" w:rsidRDefault="00A03D36" w:rsidP="007224EE">
      <w:pPr>
        <w:tabs>
          <w:tab w:val="left" w:pos="1243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6.5. </w:t>
      </w:r>
      <w:r w:rsidR="007224EE" w:rsidRPr="00CA31F8">
        <w:rPr>
          <w:rFonts w:ascii="Bookman Old Style" w:hAnsi="Bookman Old Style" w:cs="Arial"/>
          <w:b/>
          <w:sz w:val="22"/>
          <w:szCs w:val="22"/>
        </w:rPr>
        <w:t>Klauzula automatycznego pokrycia konsumpcji sumy ubezpieczenia polegająca na objęciu automatyczną ochroną ubezpieczeniową przez Ubezpieczyciela doubezpieczenia, wynikającego z zastosowania konsumpcji sumy ubezpieczenia po wypłacie odszkodowań dla ryzyk, dla których odnośne OWU stanowią o konsumpcji sumy ubezpieczenia; Ubezpieczający zobowiązany będzie do dopłaty stosownej składki po przedłożeniu przez Ubezpieczyciela pisemnego zawiadomienia o przywróceniu pierwotnej sumy ubezpieczenia; Limit automatycznego odtworzenia sum ubezpieczenia wynosi 100.000,- PLN na jedno i wszystkie w okresie ubezpieczenia; nie dotyczy wniosku o przywrócenie lub doubezpieczenie złożonego przez Ubezpieczonego;  przedmiotowe zapisy odnoszą się do ryzyk określonych w pkt. 3-4 niniejszej SIWZ, z wyjątkiem klauzul dodatkowych z wprowadzonymi podlimitami odpowiedzialności w systemie pierwszego ryzyka oraz sum ubezpieczenia ustalonych w systemie na pierwsze ryzyko;</w:t>
      </w:r>
    </w:p>
    <w:p w:rsidR="007224EE" w:rsidRDefault="007224EE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7224EE" w:rsidRPr="007224EE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224EE">
        <w:rPr>
          <w:rFonts w:ascii="Bookman Old Style" w:hAnsi="Bookman Old Style"/>
          <w:sz w:val="23"/>
          <w:szCs w:val="23"/>
        </w:rPr>
        <w:t xml:space="preserve">Zmianie ulega 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 xml:space="preserve">Zadanie II-gie: pkt </w:t>
      </w:r>
      <w:r>
        <w:rPr>
          <w:rFonts w:ascii="Bookman Old Style" w:hAnsi="Bookman Old Style" w:cs="Arial"/>
          <w:color w:val="000000"/>
          <w:sz w:val="22"/>
          <w:szCs w:val="22"/>
        </w:rPr>
        <w:t>6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>.</w:t>
      </w:r>
      <w:r>
        <w:rPr>
          <w:rFonts w:ascii="Bookman Old Style" w:hAnsi="Bookman Old Style" w:cs="Arial"/>
          <w:color w:val="000000"/>
          <w:sz w:val="22"/>
          <w:szCs w:val="22"/>
        </w:rPr>
        <w:t>6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 xml:space="preserve">. </w:t>
      </w:r>
      <w:r w:rsidRPr="007224EE">
        <w:rPr>
          <w:rFonts w:ascii="Bookman Old Style" w:hAnsi="Bookman Old Style" w:cs="Arial"/>
          <w:sz w:val="22"/>
          <w:szCs w:val="22"/>
        </w:rPr>
        <w:t xml:space="preserve">poprzez zastąpienie dotychczasowej treści w całości </w:t>
      </w:r>
      <w:r w:rsidRPr="007224EE">
        <w:rPr>
          <w:rFonts w:ascii="Bookman Old Style" w:hAnsi="Bookman Old Style"/>
          <w:sz w:val="23"/>
          <w:szCs w:val="23"/>
        </w:rPr>
        <w:t>poniższym</w:t>
      </w:r>
      <w:r w:rsidRPr="007224EE">
        <w:rPr>
          <w:rFonts w:ascii="Bookman Old Style" w:hAnsi="Bookman Old Style" w:cstheme="minorHAnsi"/>
          <w:sz w:val="22"/>
          <w:szCs w:val="22"/>
        </w:rPr>
        <w:t>:</w:t>
      </w:r>
    </w:p>
    <w:p w:rsidR="007224EE" w:rsidRPr="007224EE" w:rsidRDefault="007224EE" w:rsidP="007224EE">
      <w:pPr>
        <w:pStyle w:val="Akapitzlist"/>
        <w:numPr>
          <w:ilvl w:val="1"/>
          <w:numId w:val="19"/>
        </w:numPr>
        <w:tabs>
          <w:tab w:val="left" w:pos="1243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7224EE">
        <w:rPr>
          <w:rFonts w:ascii="Bookman Old Style" w:hAnsi="Bookman Old Style" w:cs="Arial"/>
          <w:b/>
          <w:sz w:val="22"/>
          <w:szCs w:val="22"/>
        </w:rPr>
        <w:t>Klauzula rozliczenia składek uznająca zasadę dokonywania dodatkowych płatności przez Ubezpieczającego, a powstałych na tle zawartych umów ubezpieczenia, wynikających w szczególności z konieczności dopłat, zwrotów składek oraz innych rozliczeń w systemie pro rata za każdy dzień ochrony ubezpieczeniowej (nie dotyczy ubezpieczeń obowiązkowych oraz klauzuli automatycznego pokrycia);</w:t>
      </w:r>
    </w:p>
    <w:p w:rsidR="007224EE" w:rsidRDefault="007224EE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7224EE" w:rsidRDefault="007224EE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7224EE" w:rsidRPr="007224EE" w:rsidRDefault="007224EE" w:rsidP="007224EE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224EE">
        <w:rPr>
          <w:rFonts w:ascii="Bookman Old Style" w:hAnsi="Bookman Old Style"/>
          <w:sz w:val="23"/>
          <w:szCs w:val="23"/>
        </w:rPr>
        <w:lastRenderedPageBreak/>
        <w:t xml:space="preserve">Zmianie ulega 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 xml:space="preserve">Zadanie II-gie: pkt </w:t>
      </w:r>
      <w:r>
        <w:rPr>
          <w:rFonts w:ascii="Bookman Old Style" w:hAnsi="Bookman Old Style" w:cs="Arial"/>
          <w:color w:val="000000"/>
          <w:sz w:val="22"/>
          <w:szCs w:val="22"/>
        </w:rPr>
        <w:t>6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>.</w:t>
      </w:r>
      <w:r w:rsidR="001936EB">
        <w:rPr>
          <w:rFonts w:ascii="Bookman Old Style" w:hAnsi="Bookman Old Style" w:cs="Arial"/>
          <w:color w:val="000000"/>
          <w:sz w:val="22"/>
          <w:szCs w:val="22"/>
        </w:rPr>
        <w:t>7</w:t>
      </w:r>
      <w:r w:rsidRPr="007224EE">
        <w:rPr>
          <w:rFonts w:ascii="Bookman Old Style" w:hAnsi="Bookman Old Style" w:cs="Arial"/>
          <w:color w:val="000000"/>
          <w:sz w:val="22"/>
          <w:szCs w:val="22"/>
        </w:rPr>
        <w:t xml:space="preserve">. </w:t>
      </w:r>
      <w:r w:rsidRPr="007224EE">
        <w:rPr>
          <w:rFonts w:ascii="Bookman Old Style" w:hAnsi="Bookman Old Style" w:cs="Arial"/>
          <w:sz w:val="22"/>
          <w:szCs w:val="22"/>
        </w:rPr>
        <w:t xml:space="preserve">poprzez zastąpienie dotychczasowej treści w całości </w:t>
      </w:r>
      <w:r w:rsidRPr="007224EE">
        <w:rPr>
          <w:rFonts w:ascii="Bookman Old Style" w:hAnsi="Bookman Old Style"/>
          <w:sz w:val="23"/>
          <w:szCs w:val="23"/>
        </w:rPr>
        <w:t>poniższym</w:t>
      </w:r>
      <w:r w:rsidRPr="007224EE">
        <w:rPr>
          <w:rFonts w:ascii="Bookman Old Style" w:hAnsi="Bookman Old Style" w:cstheme="minorHAnsi"/>
          <w:sz w:val="22"/>
          <w:szCs w:val="22"/>
        </w:rPr>
        <w:t>:</w:t>
      </w:r>
    </w:p>
    <w:p w:rsidR="001936EB" w:rsidRPr="00CA31F8" w:rsidRDefault="001936EB" w:rsidP="001936EB">
      <w:pPr>
        <w:tabs>
          <w:tab w:val="left" w:pos="851"/>
        </w:tabs>
        <w:autoSpaceDE w:val="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6.7 </w:t>
      </w:r>
      <w:r w:rsidRPr="00CA31F8">
        <w:rPr>
          <w:rFonts w:ascii="Bookman Old Style" w:hAnsi="Bookman Old Style" w:cs="Arial"/>
          <w:b/>
          <w:sz w:val="22"/>
          <w:szCs w:val="22"/>
        </w:rPr>
        <w:t xml:space="preserve">Klauzula zniesienia prawa do regresu za szkody wyrządzone przez osoby, za które Ubezpieczający ponosi odpowiedzialność oraz będące reprezentantami Ubezpieczającego; nie dotyczy ubezpieczeń obowiązkowych, dobrowolnego ubezpieczenia odpowiedzialności cywilnej SPZOZ, szkód wyrządzonych umyślnie oraz firm serwisowych i konserwacyjnych. </w:t>
      </w:r>
    </w:p>
    <w:p w:rsidR="001936EB" w:rsidRDefault="001936EB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</w:p>
    <w:p w:rsidR="001936EB" w:rsidRPr="00F14277" w:rsidRDefault="001936EB" w:rsidP="001936EB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sz w:val="22"/>
          <w:szCs w:val="22"/>
        </w:rPr>
      </w:pPr>
      <w:r w:rsidRPr="007224EE">
        <w:rPr>
          <w:rFonts w:ascii="Bookman Old Style" w:hAnsi="Bookman Old Style"/>
          <w:sz w:val="23"/>
          <w:szCs w:val="23"/>
        </w:rPr>
        <w:t xml:space="preserve">Zmianie ulega </w:t>
      </w:r>
      <w:r>
        <w:rPr>
          <w:rFonts w:ascii="Bookman Old Style" w:hAnsi="Bookman Old Style"/>
          <w:sz w:val="23"/>
          <w:szCs w:val="23"/>
        </w:rPr>
        <w:t xml:space="preserve">zapis </w:t>
      </w:r>
      <w:r w:rsidRPr="00F14277">
        <w:rPr>
          <w:rFonts w:ascii="Bookman Old Style" w:hAnsi="Bookman Old Style" w:cs="Arial"/>
          <w:sz w:val="22"/>
          <w:szCs w:val="22"/>
        </w:rPr>
        <w:t xml:space="preserve">SIWZ w pkt I.10. 1 i I.10.3 poprzez zastąpienie dotychczasowej treści w całości poniższym zapisem: </w:t>
      </w:r>
    </w:p>
    <w:p w:rsidR="001936EB" w:rsidRPr="00CA31F8" w:rsidRDefault="001936EB" w:rsidP="001936EB">
      <w:pPr>
        <w:tabs>
          <w:tab w:val="left" w:pos="851"/>
        </w:tabs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1936EB" w:rsidRPr="00CA31F8" w:rsidRDefault="001936EB" w:rsidP="001936EB">
      <w:pPr>
        <w:pStyle w:val="WW-Lista2"/>
        <w:tabs>
          <w:tab w:val="center" w:pos="5256"/>
          <w:tab w:val="right" w:pos="9792"/>
        </w:tabs>
        <w:ind w:left="0" w:firstLine="0"/>
        <w:rPr>
          <w:rFonts w:ascii="Bookman Old Style" w:hAnsi="Bookman Old Style" w:cs="Calibri"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>I.10.1.</w:t>
      </w:r>
      <w:r w:rsidRPr="00CA31F8">
        <w:rPr>
          <w:rFonts w:ascii="Bookman Old Style" w:hAnsi="Bookman Old Style" w:cs="Calibri"/>
          <w:sz w:val="22"/>
          <w:szCs w:val="22"/>
        </w:rPr>
        <w:t xml:space="preserve"> Oferta musi wpłynąć na adres Pełnomocnika Zamawiającego:</w:t>
      </w:r>
    </w:p>
    <w:p w:rsidR="001936EB" w:rsidRPr="00CA31F8" w:rsidRDefault="001936EB" w:rsidP="001936EB">
      <w:pPr>
        <w:pStyle w:val="WW-Lista2"/>
        <w:tabs>
          <w:tab w:val="center" w:pos="12456"/>
          <w:tab w:val="right" w:pos="16992"/>
        </w:tabs>
        <w:ind w:left="360" w:firstLine="0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1936EB" w:rsidRPr="00CA31F8" w:rsidRDefault="001936EB" w:rsidP="001936EB">
      <w:pPr>
        <w:pStyle w:val="WW-Lista2"/>
        <w:tabs>
          <w:tab w:val="center" w:pos="12456"/>
          <w:tab w:val="right" w:pos="16992"/>
        </w:tabs>
        <w:ind w:left="360" w:firstLine="0"/>
        <w:jc w:val="center"/>
        <w:rPr>
          <w:rFonts w:ascii="Bookman Old Style" w:hAnsi="Bookman Old Style" w:cs="Calibri"/>
          <w:b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>Broker Ubezpieczeniowy Miłosz Wysocki</w:t>
      </w:r>
    </w:p>
    <w:p w:rsidR="001936EB" w:rsidRPr="00CA31F8" w:rsidRDefault="001936EB" w:rsidP="001936EB">
      <w:pPr>
        <w:pStyle w:val="WW-Lista2"/>
        <w:tabs>
          <w:tab w:val="center" w:pos="12456"/>
          <w:tab w:val="right" w:pos="16992"/>
        </w:tabs>
        <w:ind w:left="360" w:firstLine="0"/>
        <w:jc w:val="center"/>
        <w:rPr>
          <w:rFonts w:ascii="Bookman Old Style" w:hAnsi="Bookman Old Style" w:cs="Calibri"/>
          <w:b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>41-800 Zabrze ul. Generała de Gaulle’a 63/1</w:t>
      </w:r>
    </w:p>
    <w:p w:rsidR="001936EB" w:rsidRPr="00CA31F8" w:rsidRDefault="001936EB" w:rsidP="001936EB">
      <w:pPr>
        <w:pStyle w:val="WW-Lista2"/>
        <w:tabs>
          <w:tab w:val="center" w:pos="12456"/>
          <w:tab w:val="right" w:pos="16992"/>
        </w:tabs>
        <w:ind w:left="360" w:firstLine="0"/>
        <w:jc w:val="center"/>
        <w:rPr>
          <w:rFonts w:ascii="Bookman Old Style" w:hAnsi="Bookman Old Style" w:cs="Calibri"/>
          <w:b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>najpóźniej do dnia 02.03.2012 do godz. 1</w:t>
      </w:r>
      <w:r>
        <w:rPr>
          <w:rFonts w:ascii="Bookman Old Style" w:hAnsi="Bookman Old Style" w:cs="Calibri"/>
          <w:b/>
          <w:sz w:val="22"/>
          <w:szCs w:val="22"/>
        </w:rPr>
        <w:t>2</w:t>
      </w:r>
      <w:r w:rsidRPr="00CA31F8">
        <w:rPr>
          <w:rFonts w:ascii="Bookman Old Style" w:hAnsi="Bookman Old Style" w:cs="Calibri"/>
          <w:b/>
          <w:sz w:val="22"/>
          <w:szCs w:val="22"/>
        </w:rPr>
        <w:t>:00</w:t>
      </w:r>
    </w:p>
    <w:p w:rsidR="001936EB" w:rsidRPr="00CA31F8" w:rsidRDefault="001936EB" w:rsidP="001936EB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</w:p>
    <w:p w:rsidR="001936EB" w:rsidRPr="00CA31F8" w:rsidRDefault="001936EB" w:rsidP="001936EB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  <w:r w:rsidRPr="00CA31F8">
        <w:rPr>
          <w:rFonts w:ascii="Bookman Old Style" w:hAnsi="Bookman Old Style" w:cs="Calibri"/>
          <w:sz w:val="22"/>
          <w:szCs w:val="22"/>
        </w:rPr>
        <w:t xml:space="preserve">W przypadku złożenia oferty drogą pocztową o ważności jej złożenia będzie decydowała data wpływu do Zamawiającego.  </w:t>
      </w:r>
    </w:p>
    <w:p w:rsidR="001936EB" w:rsidRPr="00CA31F8" w:rsidRDefault="001936EB" w:rsidP="001936EB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="Calibri"/>
          <w:b/>
          <w:sz w:val="22"/>
          <w:szCs w:val="22"/>
        </w:rPr>
      </w:pPr>
      <w:r w:rsidRPr="00CA31F8">
        <w:rPr>
          <w:rFonts w:ascii="Bookman Old Style" w:hAnsi="Bookman Old Style" w:cs="Calibri"/>
          <w:b/>
          <w:sz w:val="22"/>
          <w:szCs w:val="22"/>
        </w:rPr>
        <w:t xml:space="preserve">I.10.3. </w:t>
      </w:r>
      <w:r w:rsidRPr="00CA31F8">
        <w:rPr>
          <w:rFonts w:ascii="Bookman Old Style" w:hAnsi="Bookman Old Style" w:cs="Calibri"/>
          <w:sz w:val="22"/>
          <w:szCs w:val="22"/>
        </w:rPr>
        <w:t xml:space="preserve">Otwarcie ofert nastąpi w siedzibie Pełnomocnika </w:t>
      </w:r>
      <w:r w:rsidRPr="00CA31F8">
        <w:rPr>
          <w:rFonts w:ascii="Bookman Old Style" w:hAnsi="Bookman Old Style" w:cs="Calibri"/>
          <w:b/>
          <w:sz w:val="22"/>
          <w:szCs w:val="22"/>
        </w:rPr>
        <w:t>w dniu 02.03.2012 roku o godz. 1</w:t>
      </w:r>
      <w:r>
        <w:rPr>
          <w:rFonts w:ascii="Bookman Old Style" w:hAnsi="Bookman Old Style" w:cs="Calibri"/>
          <w:b/>
          <w:sz w:val="22"/>
          <w:szCs w:val="22"/>
        </w:rPr>
        <w:t>2</w:t>
      </w:r>
      <w:r w:rsidRPr="00CA31F8">
        <w:rPr>
          <w:rFonts w:ascii="Bookman Old Style" w:hAnsi="Bookman Old Style" w:cs="Calibri"/>
          <w:b/>
          <w:sz w:val="22"/>
          <w:szCs w:val="22"/>
        </w:rPr>
        <w:t>:15</w:t>
      </w:r>
    </w:p>
    <w:p w:rsidR="001936EB" w:rsidRPr="00CA31F8" w:rsidRDefault="001936EB" w:rsidP="001936EB">
      <w:pPr>
        <w:pStyle w:val="standardtresc"/>
        <w:spacing w:line="280" w:lineRule="exact"/>
        <w:jc w:val="left"/>
        <w:rPr>
          <w:rFonts w:ascii="Bookman Old Style" w:hAnsi="Bookman Old Style"/>
          <w:color w:val="000000"/>
          <w:sz w:val="22"/>
          <w:szCs w:val="22"/>
        </w:rPr>
      </w:pPr>
    </w:p>
    <w:p w:rsidR="00625415" w:rsidRPr="000D07FF" w:rsidRDefault="00625415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  <w:sz w:val="23"/>
          <w:szCs w:val="23"/>
        </w:rPr>
      </w:pPr>
      <w:r w:rsidRPr="000D07FF">
        <w:rPr>
          <w:rFonts w:ascii="Bookman Old Style" w:hAnsi="Bookman Old Style" w:cstheme="minorHAnsi"/>
          <w:b/>
          <w:bCs/>
          <w:sz w:val="23"/>
          <w:szCs w:val="23"/>
        </w:rPr>
        <w:t xml:space="preserve">Powyższe staje się obowiązujące dla wszystkich zainteresowanych Wykonawców. Treść specyfikacji wraz z załącznikami  należy odczytywać z uwzględnieniem wprowadzonej zmiany jak powyżej. </w:t>
      </w:r>
    </w:p>
    <w:p w:rsidR="00625415" w:rsidRPr="000D07FF" w:rsidRDefault="00625415" w:rsidP="00625415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theme="minorHAnsi"/>
          <w:b/>
          <w:sz w:val="23"/>
          <w:szCs w:val="23"/>
          <w:shd w:val="clear" w:color="auto" w:fill="FFFF00"/>
        </w:rPr>
      </w:pPr>
    </w:p>
    <w:p w:rsidR="00200672" w:rsidRDefault="00200672">
      <w:pPr>
        <w:rPr>
          <w:sz w:val="23"/>
          <w:szCs w:val="23"/>
        </w:rPr>
      </w:pPr>
    </w:p>
    <w:p w:rsidR="00E07163" w:rsidRDefault="00E07163" w:rsidP="00E07163">
      <w:pPr>
        <w:pStyle w:val="WW-Tekstpodstawowy2"/>
        <w:tabs>
          <w:tab w:val="center" w:pos="5256"/>
          <w:tab w:val="right" w:pos="9792"/>
        </w:tabs>
        <w:jc w:val="center"/>
        <w:rPr>
          <w:rFonts w:ascii="Bookman Old Style" w:hAnsi="Bookman Old Style" w:cs="Calibri"/>
          <w:sz w:val="22"/>
          <w:szCs w:val="22"/>
        </w:rPr>
      </w:pPr>
    </w:p>
    <w:p w:rsidR="00E07163" w:rsidRPr="000D07FF" w:rsidRDefault="00E07163">
      <w:pPr>
        <w:rPr>
          <w:sz w:val="23"/>
          <w:szCs w:val="23"/>
        </w:rPr>
      </w:pPr>
    </w:p>
    <w:sectPr w:rsidR="00E07163" w:rsidRPr="000D0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36" w:rsidRDefault="00A03D36" w:rsidP="000B3C97">
      <w:r>
        <w:separator/>
      </w:r>
    </w:p>
  </w:endnote>
  <w:endnote w:type="continuationSeparator" w:id="0">
    <w:p w:rsidR="00A03D36" w:rsidRDefault="00A03D36" w:rsidP="000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430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D36" w:rsidRDefault="00A03D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D36" w:rsidRDefault="00A03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36" w:rsidRDefault="00A03D36" w:rsidP="000B3C97">
      <w:r>
        <w:separator/>
      </w:r>
    </w:p>
  </w:footnote>
  <w:footnote w:type="continuationSeparator" w:id="0">
    <w:p w:rsidR="00A03D36" w:rsidRDefault="00A03D36" w:rsidP="000B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BB8"/>
    <w:multiLevelType w:val="multilevel"/>
    <w:tmpl w:val="D57A608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DC2B3B"/>
    <w:multiLevelType w:val="multilevel"/>
    <w:tmpl w:val="604485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0E60AB9"/>
    <w:multiLevelType w:val="multilevel"/>
    <w:tmpl w:val="31E20DB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4470AF7"/>
    <w:multiLevelType w:val="multilevel"/>
    <w:tmpl w:val="E0FEF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D5085"/>
    <w:multiLevelType w:val="hybridMultilevel"/>
    <w:tmpl w:val="9B1E32DA"/>
    <w:lvl w:ilvl="0" w:tplc="790AD9E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84F"/>
    <w:multiLevelType w:val="multilevel"/>
    <w:tmpl w:val="EF4CC6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4017E2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15183F"/>
    <w:multiLevelType w:val="multilevel"/>
    <w:tmpl w:val="1604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70470B"/>
    <w:multiLevelType w:val="multilevel"/>
    <w:tmpl w:val="6960195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6133167"/>
    <w:multiLevelType w:val="multilevel"/>
    <w:tmpl w:val="E0FEF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1741F3"/>
    <w:multiLevelType w:val="multilevel"/>
    <w:tmpl w:val="5332FA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6F2799A"/>
    <w:multiLevelType w:val="hybridMultilevel"/>
    <w:tmpl w:val="41CCB23A"/>
    <w:lvl w:ilvl="0" w:tplc="E5CE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1E45"/>
    <w:multiLevelType w:val="multilevel"/>
    <w:tmpl w:val="65EA566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9B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D57D17"/>
    <w:multiLevelType w:val="multilevel"/>
    <w:tmpl w:val="4E78B0B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27718C"/>
    <w:multiLevelType w:val="multilevel"/>
    <w:tmpl w:val="A77E09E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6319C9"/>
    <w:multiLevelType w:val="multilevel"/>
    <w:tmpl w:val="F3CC7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86531"/>
    <w:multiLevelType w:val="hybridMultilevel"/>
    <w:tmpl w:val="C436EB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3"/>
  </w:num>
  <w:num w:numId="7">
    <w:abstractNumId w:val="17"/>
  </w:num>
  <w:num w:numId="8">
    <w:abstractNumId w:val="17"/>
  </w:num>
  <w:num w:numId="9">
    <w:abstractNumId w:val="13"/>
  </w:num>
  <w:num w:numId="10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2"/>
  </w:num>
  <w:num w:numId="15">
    <w:abstractNumId w:val="8"/>
  </w:num>
  <w:num w:numId="16">
    <w:abstractNumId w:val="14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55C8D"/>
    <w:rsid w:val="000B3C97"/>
    <w:rsid w:val="000D07FF"/>
    <w:rsid w:val="001936EB"/>
    <w:rsid w:val="00200672"/>
    <w:rsid w:val="00367A82"/>
    <w:rsid w:val="0053468B"/>
    <w:rsid w:val="00625415"/>
    <w:rsid w:val="00673851"/>
    <w:rsid w:val="007224EE"/>
    <w:rsid w:val="007D2ED3"/>
    <w:rsid w:val="009D7A1A"/>
    <w:rsid w:val="00A03D36"/>
    <w:rsid w:val="00A66A73"/>
    <w:rsid w:val="00C52B40"/>
    <w:rsid w:val="00CC6A0A"/>
    <w:rsid w:val="00CF347A"/>
    <w:rsid w:val="00DB1887"/>
    <w:rsid w:val="00E07163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4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415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ny"/>
    <w:rsid w:val="00625415"/>
    <w:pPr>
      <w:widowControl w:val="0"/>
      <w:suppressAutoHyphens w:val="0"/>
      <w:autoSpaceDN w:val="0"/>
      <w:adjustRightInd w:val="0"/>
      <w:ind w:left="566" w:hanging="283"/>
    </w:pPr>
    <w:rPr>
      <w:rFonts w:cs="Tahoma"/>
      <w:lang w:eastAsia="pl-PL"/>
    </w:rPr>
  </w:style>
  <w:style w:type="paragraph" w:styleId="Akapitzlist">
    <w:name w:val="List Paragraph"/>
    <w:basedOn w:val="Normalny"/>
    <w:uiPriority w:val="34"/>
    <w:qFormat/>
    <w:rsid w:val="00625415"/>
    <w:pPr>
      <w:ind w:left="720"/>
      <w:contextualSpacing/>
    </w:pPr>
  </w:style>
  <w:style w:type="paragraph" w:customStyle="1" w:styleId="Akapitzlist1">
    <w:name w:val="Akapit z listą1"/>
    <w:basedOn w:val="Normalny"/>
    <w:rsid w:val="0062541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7163"/>
    <w:pPr>
      <w:widowControl w:val="0"/>
      <w:ind w:left="284" w:hanging="284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163"/>
    <w:rPr>
      <w:rFonts w:ascii="Arial" w:eastAsia="Times New Roman" w:hAnsi="Arial"/>
      <w:sz w:val="24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E07163"/>
    <w:pPr>
      <w:widowControl w:val="0"/>
    </w:pPr>
    <w:rPr>
      <w:rFonts w:ascii="Arial" w:hAnsi="Arial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C8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tresc">
    <w:name w:val="standard_tresc"/>
    <w:basedOn w:val="Normalny"/>
    <w:link w:val="standardtrescZnak"/>
    <w:rsid w:val="001936EB"/>
    <w:pPr>
      <w:suppressAutoHyphens w:val="0"/>
      <w:jc w:val="both"/>
    </w:pPr>
    <w:rPr>
      <w:rFonts w:ascii="Arial" w:hAnsi="Arial"/>
      <w:lang w:eastAsia="pl-PL"/>
    </w:rPr>
  </w:style>
  <w:style w:type="character" w:customStyle="1" w:styleId="standardtrescZnak">
    <w:name w:val="standard_tresc Znak"/>
    <w:basedOn w:val="Domylnaczcionkaakapitu"/>
    <w:link w:val="standardtresc"/>
    <w:rsid w:val="001936EB"/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4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415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ny"/>
    <w:rsid w:val="00625415"/>
    <w:pPr>
      <w:widowControl w:val="0"/>
      <w:suppressAutoHyphens w:val="0"/>
      <w:autoSpaceDN w:val="0"/>
      <w:adjustRightInd w:val="0"/>
      <w:ind w:left="566" w:hanging="283"/>
    </w:pPr>
    <w:rPr>
      <w:rFonts w:cs="Tahoma"/>
      <w:lang w:eastAsia="pl-PL"/>
    </w:rPr>
  </w:style>
  <w:style w:type="paragraph" w:styleId="Akapitzlist">
    <w:name w:val="List Paragraph"/>
    <w:basedOn w:val="Normalny"/>
    <w:uiPriority w:val="34"/>
    <w:qFormat/>
    <w:rsid w:val="00625415"/>
    <w:pPr>
      <w:ind w:left="720"/>
      <w:contextualSpacing/>
    </w:pPr>
  </w:style>
  <w:style w:type="paragraph" w:customStyle="1" w:styleId="Akapitzlist1">
    <w:name w:val="Akapit z listą1"/>
    <w:basedOn w:val="Normalny"/>
    <w:rsid w:val="0062541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7163"/>
    <w:pPr>
      <w:widowControl w:val="0"/>
      <w:ind w:left="284" w:hanging="284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163"/>
    <w:rPr>
      <w:rFonts w:ascii="Arial" w:eastAsia="Times New Roman" w:hAnsi="Arial"/>
      <w:sz w:val="24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E07163"/>
    <w:pPr>
      <w:widowControl w:val="0"/>
    </w:pPr>
    <w:rPr>
      <w:rFonts w:ascii="Arial" w:hAnsi="Arial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C8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tresc">
    <w:name w:val="standard_tresc"/>
    <w:basedOn w:val="Normalny"/>
    <w:link w:val="standardtrescZnak"/>
    <w:rsid w:val="001936EB"/>
    <w:pPr>
      <w:suppressAutoHyphens w:val="0"/>
      <w:jc w:val="both"/>
    </w:pPr>
    <w:rPr>
      <w:rFonts w:ascii="Arial" w:hAnsi="Arial"/>
      <w:lang w:eastAsia="pl-PL"/>
    </w:rPr>
  </w:style>
  <w:style w:type="character" w:customStyle="1" w:styleId="standardtrescZnak">
    <w:name w:val="standard_tresc Znak"/>
    <w:basedOn w:val="Domylnaczcionkaakapitu"/>
    <w:link w:val="standardtresc"/>
    <w:rsid w:val="001936EB"/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2123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Borowska</dc:creator>
  <cp:lastModifiedBy>Ania Borowska</cp:lastModifiedBy>
  <cp:revision>6</cp:revision>
  <cp:lastPrinted>2011-11-18T10:14:00Z</cp:lastPrinted>
  <dcterms:created xsi:type="dcterms:W3CDTF">2012-02-27T12:49:00Z</dcterms:created>
  <dcterms:modified xsi:type="dcterms:W3CDTF">2012-02-27T13:39:00Z</dcterms:modified>
</cp:coreProperties>
</file>