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05A4" w:rsidRPr="00FD473D" w:rsidRDefault="005905A4" w:rsidP="005905A4">
      <w:pPr>
        <w:pStyle w:val="Akapitzlist1"/>
        <w:autoSpaceDE w:val="0"/>
        <w:spacing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Repty, 2014-02-26</w:t>
      </w:r>
    </w:p>
    <w:p w:rsidR="005905A4" w:rsidRPr="00E10001" w:rsidRDefault="005905A4" w:rsidP="005905A4">
      <w:pPr>
        <w:rPr>
          <w:rFonts w:ascii="Tahoma" w:hAnsi="Tahoma" w:cs="Tahoma"/>
          <w:b/>
          <w:sz w:val="20"/>
          <w:szCs w:val="20"/>
        </w:rPr>
      </w:pPr>
      <w:r w:rsidRPr="00E10001">
        <w:rPr>
          <w:rFonts w:ascii="Tahoma" w:hAnsi="Tahoma" w:cs="Tahoma"/>
          <w:b/>
          <w:sz w:val="20"/>
          <w:szCs w:val="20"/>
        </w:rPr>
        <w:t xml:space="preserve">nr </w:t>
      </w:r>
      <w:proofErr w:type="spellStart"/>
      <w:r w:rsidRPr="00E10001">
        <w:rPr>
          <w:rFonts w:ascii="Tahoma" w:hAnsi="Tahoma" w:cs="Tahoma"/>
          <w:b/>
          <w:sz w:val="20"/>
          <w:szCs w:val="20"/>
        </w:rPr>
        <w:t>spr</w:t>
      </w:r>
      <w:proofErr w:type="spellEnd"/>
      <w:r w:rsidRPr="00E10001">
        <w:rPr>
          <w:rFonts w:ascii="Tahoma" w:hAnsi="Tahoma" w:cs="Tahoma"/>
          <w:b/>
          <w:sz w:val="20"/>
          <w:szCs w:val="20"/>
        </w:rPr>
        <w:t>.: GCR/13/ZP/2014</w:t>
      </w:r>
    </w:p>
    <w:p w:rsidR="005905A4" w:rsidRPr="00FD473D" w:rsidRDefault="005905A4" w:rsidP="005905A4">
      <w:pPr>
        <w:pStyle w:val="Tekstpodstawowy"/>
        <w:tabs>
          <w:tab w:val="center" w:pos="5256"/>
          <w:tab w:val="right" w:pos="9792"/>
        </w:tabs>
        <w:rPr>
          <w:rFonts w:ascii="Tahoma" w:hAnsi="Tahoma" w:cs="Tahoma"/>
          <w:sz w:val="20"/>
          <w:szCs w:val="20"/>
        </w:rPr>
      </w:pPr>
    </w:p>
    <w:p w:rsidR="005905A4" w:rsidRPr="00FD473D" w:rsidRDefault="005905A4" w:rsidP="005905A4">
      <w:pPr>
        <w:tabs>
          <w:tab w:val="center" w:pos="0"/>
          <w:tab w:val="right" w:pos="9792"/>
        </w:tabs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b/>
          <w:sz w:val="20"/>
          <w:szCs w:val="20"/>
          <w:u w:val="single"/>
        </w:rPr>
        <w:t xml:space="preserve">Do </w:t>
      </w:r>
      <w:r w:rsidRPr="00FD473D">
        <w:rPr>
          <w:rFonts w:ascii="Tahoma" w:hAnsi="Tahoma" w:cs="Tahoma"/>
          <w:b/>
          <w:sz w:val="20"/>
          <w:szCs w:val="20"/>
          <w:u w:val="single"/>
        </w:rPr>
        <w:br/>
      </w:r>
      <w:r w:rsidRPr="00FD473D">
        <w:rPr>
          <w:rFonts w:ascii="Tahoma" w:hAnsi="Tahoma" w:cs="Tahoma"/>
          <w:sz w:val="20"/>
          <w:szCs w:val="20"/>
        </w:rPr>
        <w:t xml:space="preserve">Uczestnicy postępowania prowadzonego w trybie przetargu nieograniczonego na usługę </w:t>
      </w:r>
      <w:r w:rsidRPr="00FD473D">
        <w:rPr>
          <w:rFonts w:ascii="Tahoma" w:hAnsi="Tahoma" w:cs="Tahoma"/>
          <w:sz w:val="20"/>
          <w:szCs w:val="20"/>
        </w:rPr>
        <w:br/>
        <w:t>„Kompleksowe ubezpieczenie mienia i odpowiedzialności cywilnej”</w:t>
      </w:r>
    </w:p>
    <w:p w:rsidR="005905A4" w:rsidRPr="00FD473D" w:rsidRDefault="005905A4" w:rsidP="005905A4">
      <w:pPr>
        <w:pStyle w:val="Akapitzlist1"/>
        <w:autoSpaceDE w:val="0"/>
        <w:spacing w:after="120" w:line="240" w:lineRule="auto"/>
        <w:ind w:left="0"/>
        <w:rPr>
          <w:rFonts w:ascii="Tahoma" w:hAnsi="Tahoma" w:cs="Tahoma"/>
          <w:sz w:val="20"/>
          <w:szCs w:val="20"/>
        </w:rPr>
      </w:pPr>
    </w:p>
    <w:p w:rsidR="005905A4" w:rsidRPr="00FD473D" w:rsidRDefault="005905A4" w:rsidP="005905A4">
      <w:pPr>
        <w:pStyle w:val="Akapitzlist1"/>
        <w:autoSpaceDE w:val="0"/>
        <w:spacing w:after="120" w:line="240" w:lineRule="auto"/>
        <w:ind w:left="0"/>
        <w:rPr>
          <w:rFonts w:ascii="Tahoma" w:hAnsi="Tahoma" w:cs="Tahoma"/>
          <w:b/>
          <w:sz w:val="20"/>
          <w:szCs w:val="20"/>
          <w:u w:val="single"/>
        </w:rPr>
      </w:pPr>
      <w:r w:rsidRPr="00FD473D">
        <w:rPr>
          <w:rFonts w:ascii="Tahoma" w:hAnsi="Tahoma" w:cs="Tahoma"/>
          <w:b/>
          <w:sz w:val="20"/>
          <w:szCs w:val="20"/>
          <w:u w:val="single"/>
        </w:rPr>
        <w:t>Zamawiający</w:t>
      </w:r>
    </w:p>
    <w:p w:rsidR="005905A4" w:rsidRPr="00FD473D" w:rsidRDefault="005905A4" w:rsidP="005905A4">
      <w:pPr>
        <w:tabs>
          <w:tab w:val="center" w:pos="5256"/>
          <w:tab w:val="right" w:pos="9792"/>
        </w:tabs>
        <w:ind w:left="2793" w:hanging="2793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Samodzielny Publiczny Zakład Opieki Zdrowotnej „REPTY”</w:t>
      </w:r>
    </w:p>
    <w:p w:rsidR="005905A4" w:rsidRPr="00FD473D" w:rsidRDefault="005905A4" w:rsidP="005905A4">
      <w:pPr>
        <w:tabs>
          <w:tab w:val="center" w:pos="5256"/>
          <w:tab w:val="right" w:pos="9792"/>
        </w:tabs>
        <w:ind w:left="2793" w:hanging="2793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Górnośląskie Centrum Rehabilitacji im. gen Jerzego Ziętka</w:t>
      </w:r>
    </w:p>
    <w:p w:rsidR="005905A4" w:rsidRPr="00FD473D" w:rsidRDefault="005905A4" w:rsidP="005905A4">
      <w:pPr>
        <w:tabs>
          <w:tab w:val="center" w:pos="5256"/>
          <w:tab w:val="right" w:pos="9792"/>
        </w:tabs>
        <w:ind w:left="2793" w:hanging="2793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42-604 Tarnowskie Góry ul. Śniadeckiego 1</w:t>
      </w:r>
    </w:p>
    <w:p w:rsidR="005905A4" w:rsidRPr="00FD473D" w:rsidRDefault="005905A4" w:rsidP="005905A4">
      <w:pPr>
        <w:tabs>
          <w:tab w:val="center" w:pos="5256"/>
          <w:tab w:val="right" w:pos="9792"/>
        </w:tabs>
        <w:ind w:left="2793" w:hanging="2793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Regon: 000291701 NIP: 645-000-93-46</w:t>
      </w:r>
    </w:p>
    <w:p w:rsidR="005905A4" w:rsidRPr="00FD473D" w:rsidRDefault="005905A4" w:rsidP="005905A4">
      <w:pPr>
        <w:pStyle w:val="Akapitzlist1"/>
        <w:autoSpaceDE w:val="0"/>
        <w:spacing w:after="120" w:line="240" w:lineRule="auto"/>
        <w:ind w:left="0"/>
        <w:rPr>
          <w:rFonts w:ascii="Tahoma" w:hAnsi="Tahoma" w:cs="Tahoma"/>
          <w:b/>
          <w:sz w:val="20"/>
          <w:szCs w:val="20"/>
          <w:u w:val="single"/>
        </w:rPr>
      </w:pPr>
    </w:p>
    <w:p w:rsidR="005905A4" w:rsidRPr="00FD473D" w:rsidRDefault="005905A4" w:rsidP="005905A4">
      <w:pPr>
        <w:pStyle w:val="Akapitzlist1"/>
        <w:autoSpaceDE w:val="0"/>
        <w:spacing w:after="120" w:line="240" w:lineRule="auto"/>
        <w:ind w:left="0"/>
        <w:rPr>
          <w:rFonts w:ascii="Tahoma" w:hAnsi="Tahoma" w:cs="Tahoma"/>
          <w:b/>
          <w:sz w:val="20"/>
          <w:szCs w:val="20"/>
          <w:u w:val="single"/>
        </w:rPr>
      </w:pPr>
      <w:r w:rsidRPr="00FD473D">
        <w:rPr>
          <w:rFonts w:ascii="Tahoma" w:hAnsi="Tahoma" w:cs="Tahoma"/>
          <w:b/>
          <w:sz w:val="20"/>
          <w:szCs w:val="20"/>
          <w:u w:val="single"/>
        </w:rPr>
        <w:t>Dotyczy</w:t>
      </w:r>
      <w:bookmarkStart w:id="0" w:name="_GoBack"/>
      <w:bookmarkEnd w:id="0"/>
    </w:p>
    <w:p w:rsidR="005905A4" w:rsidRPr="00FD473D" w:rsidRDefault="005905A4" w:rsidP="005905A4">
      <w:pPr>
        <w:pStyle w:val="Akapitzlist1"/>
        <w:autoSpaceDE w:val="0"/>
        <w:spacing w:after="120" w:line="240" w:lineRule="auto"/>
        <w:ind w:left="0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 xml:space="preserve">Odpowiedzi na pytania oraz wyjaśnienia dla </w:t>
      </w:r>
      <w:r>
        <w:rPr>
          <w:rFonts w:ascii="Tahoma" w:hAnsi="Tahoma" w:cs="Tahoma"/>
          <w:sz w:val="20"/>
          <w:szCs w:val="20"/>
        </w:rPr>
        <w:t>Wykonawców</w:t>
      </w:r>
    </w:p>
    <w:p w:rsidR="005905A4" w:rsidRPr="00FD473D" w:rsidRDefault="005905A4" w:rsidP="005905A4">
      <w:pPr>
        <w:pStyle w:val="Standard"/>
        <w:rPr>
          <w:rFonts w:ascii="Tahoma" w:hAnsi="Tahoma" w:cs="Tahoma"/>
          <w:color w:val="000000" w:themeColor="text1"/>
          <w:sz w:val="20"/>
          <w:szCs w:val="20"/>
          <w:vertAlign w:val="superscript"/>
        </w:rPr>
      </w:pPr>
    </w:p>
    <w:p w:rsidR="005905A4" w:rsidRPr="00FD473D" w:rsidRDefault="005905A4" w:rsidP="005905A4">
      <w:pPr>
        <w:shd w:val="clear" w:color="auto" w:fill="EEECE1" w:themeFill="background2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Niniejszym informujemy, iż w przedmiotowym postępowaniu, na podstawie ustawy z dnia 29 stycznia 2004 r. – Prawo zamówień</w:t>
      </w:r>
      <w:r>
        <w:rPr>
          <w:rFonts w:ascii="Tahoma" w:hAnsi="Tahoma" w:cs="Tahoma"/>
          <w:sz w:val="20"/>
          <w:szCs w:val="20"/>
        </w:rPr>
        <w:t xml:space="preserve"> publicznych (tekst jednolity </w:t>
      </w:r>
      <w:proofErr w:type="spellStart"/>
      <w:r w:rsidRPr="00FD473D">
        <w:rPr>
          <w:rFonts w:ascii="Tahoma" w:hAnsi="Tahoma" w:cs="Tahoma"/>
          <w:sz w:val="20"/>
          <w:szCs w:val="20"/>
        </w:rPr>
        <w:t>Dz.U</w:t>
      </w:r>
      <w:proofErr w:type="spellEnd"/>
      <w:r w:rsidRPr="00FD473D">
        <w:rPr>
          <w:rFonts w:ascii="Tahoma" w:hAnsi="Tahoma" w:cs="Tahoma"/>
          <w:sz w:val="20"/>
          <w:szCs w:val="20"/>
        </w:rPr>
        <w:t>. z 201</w:t>
      </w:r>
      <w:r>
        <w:rPr>
          <w:rFonts w:ascii="Tahoma" w:hAnsi="Tahoma" w:cs="Tahoma"/>
          <w:sz w:val="20"/>
          <w:szCs w:val="20"/>
        </w:rPr>
        <w:t xml:space="preserve">3 </w:t>
      </w:r>
      <w:r w:rsidRPr="00FD473D">
        <w:rPr>
          <w:rFonts w:ascii="Tahoma" w:hAnsi="Tahoma" w:cs="Tahoma"/>
          <w:sz w:val="20"/>
          <w:szCs w:val="20"/>
        </w:rPr>
        <w:t>poz. 9</w:t>
      </w:r>
      <w:r>
        <w:rPr>
          <w:rFonts w:ascii="Tahoma" w:hAnsi="Tahoma" w:cs="Tahoma"/>
          <w:sz w:val="20"/>
          <w:szCs w:val="20"/>
        </w:rPr>
        <w:t>07 ze zm.</w:t>
      </w:r>
      <w:r w:rsidRPr="00FD473D">
        <w:rPr>
          <w:rFonts w:ascii="Tahoma" w:hAnsi="Tahoma" w:cs="Tahoma"/>
          <w:sz w:val="20"/>
          <w:szCs w:val="20"/>
        </w:rPr>
        <w:t>) wpłynęły, zgodnie z art. 38 ust. 1 ustawy,  zapytania o wyjaśnienie treści SIWZ:</w:t>
      </w:r>
    </w:p>
    <w:p w:rsidR="005905A4" w:rsidRPr="00FD473D" w:rsidRDefault="005905A4" w:rsidP="005905A4">
      <w:pPr>
        <w:pStyle w:val="Akapitzlist1"/>
        <w:tabs>
          <w:tab w:val="center" w:pos="4534"/>
          <w:tab w:val="left" w:pos="7485"/>
        </w:tabs>
        <w:autoSpaceDE w:val="0"/>
        <w:spacing w:after="12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5905A4" w:rsidRPr="00FD473D" w:rsidRDefault="005905A4" w:rsidP="005905A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 xml:space="preserve">Prosimy o wprowadzenie uzupełnienia do zapisów  pkt. 3 (SIWZ str.3) </w:t>
      </w:r>
    </w:p>
    <w:p w:rsidR="005905A4" w:rsidRPr="00FD473D" w:rsidRDefault="005905A4" w:rsidP="005905A4">
      <w:pPr>
        <w:autoSpaceDN w:val="0"/>
        <w:ind w:left="42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color w:val="000000"/>
          <w:sz w:val="20"/>
          <w:szCs w:val="20"/>
        </w:rPr>
        <w:t>W przypadku nabycia mienia, doubezpieczenia, przeszacowania, podwyższenia sumy ubezpieczenia wskutek inwestycji/modernizacj</w:t>
      </w:r>
      <w:r w:rsidRPr="00FD473D">
        <w:rPr>
          <w:rFonts w:ascii="Tahoma" w:eastAsia="TimesNewRoman" w:hAnsi="Tahoma" w:cs="Tahoma"/>
          <w:color w:val="000000"/>
          <w:sz w:val="20"/>
          <w:szCs w:val="20"/>
        </w:rPr>
        <w:t>i/ulepszenia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 lub podwyższania sumy gwarancyjnej i limitów w okresie ubezpieczenia, zastosowanie będą miały warunki oraz składki/stawki obowiązujące w umowie o udzielenie zamówienia publicznego i złożonej przez Wykonawcę ofercie jedynie w tym przypadku jeśli Zamawiający zgłosi wniosek w tej sprawie i zadeklaruje wolę dopłaty a Wykonawca wyrazi zgodę. Zapis </w:t>
      </w:r>
      <w:proofErr w:type="spellStart"/>
      <w:r w:rsidRPr="00FD473D">
        <w:rPr>
          <w:rFonts w:ascii="Tahoma" w:hAnsi="Tahoma" w:cs="Tahoma"/>
          <w:color w:val="000000"/>
          <w:sz w:val="20"/>
          <w:szCs w:val="20"/>
        </w:rPr>
        <w:t>pktu</w:t>
      </w:r>
      <w:proofErr w:type="spellEnd"/>
      <w:r w:rsidRPr="00FD473D">
        <w:rPr>
          <w:rFonts w:ascii="Tahoma" w:hAnsi="Tahoma" w:cs="Tahoma"/>
          <w:color w:val="000000"/>
          <w:sz w:val="20"/>
          <w:szCs w:val="20"/>
        </w:rPr>
        <w:t xml:space="preserve"> 3 - nie ma zastosowania do Sumy Gwarancyjnej i limitów ubezpieczenia  </w:t>
      </w:r>
      <w:proofErr w:type="spellStart"/>
      <w:r w:rsidRPr="00FD473D"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 w:rsidRPr="00FD473D">
        <w:rPr>
          <w:rFonts w:ascii="Tahoma" w:hAnsi="Tahoma" w:cs="Tahoma"/>
          <w:color w:val="000000"/>
          <w:sz w:val="20"/>
          <w:szCs w:val="20"/>
        </w:rPr>
        <w:t xml:space="preserve"> podmiotu wykonującego działalność medyczną.</w:t>
      </w:r>
    </w:p>
    <w:p w:rsidR="005905A4" w:rsidRPr="00FD473D" w:rsidRDefault="005905A4" w:rsidP="005905A4">
      <w:pPr>
        <w:autoSpaceDN w:val="0"/>
        <w:ind w:left="42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>Odpowiedź: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 Zamawiający wyraża </w:t>
      </w:r>
      <w:r>
        <w:rPr>
          <w:rFonts w:ascii="Tahoma" w:hAnsi="Tahoma" w:cs="Tahoma"/>
          <w:color w:val="000000"/>
          <w:sz w:val="20"/>
          <w:szCs w:val="20"/>
        </w:rPr>
        <w:t xml:space="preserve">częściową 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zgodę na </w:t>
      </w:r>
      <w:r>
        <w:rPr>
          <w:rFonts w:ascii="Tahoma" w:hAnsi="Tahoma" w:cs="Tahoma"/>
          <w:color w:val="000000"/>
          <w:sz w:val="20"/>
          <w:szCs w:val="20"/>
        </w:rPr>
        <w:t xml:space="preserve">modyfikację zapisów poprzez dodanie do aktualnej treści </w:t>
      </w:r>
      <w:r w:rsidRPr="00FD473D">
        <w:rPr>
          <w:rFonts w:ascii="Tahoma" w:hAnsi="Tahoma" w:cs="Tahoma"/>
          <w:color w:val="000000"/>
          <w:sz w:val="20"/>
          <w:szCs w:val="20"/>
        </w:rPr>
        <w:t>sformułowani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: „przedmiotowy zapis nie znajduje zastosowania do Sumy Gwarancyjnej i limitów obowiązkowego ubezpieczenia </w:t>
      </w:r>
      <w:proofErr w:type="spellStart"/>
      <w:r w:rsidRPr="00FD473D"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 w:rsidRPr="00FD473D">
        <w:rPr>
          <w:rFonts w:ascii="Tahoma" w:hAnsi="Tahoma" w:cs="Tahoma"/>
          <w:color w:val="000000"/>
          <w:sz w:val="20"/>
          <w:szCs w:val="20"/>
        </w:rPr>
        <w:t xml:space="preserve"> z tytułu prowadzonej działalności leczniczej oraz dobrowolnego </w:t>
      </w:r>
      <w:proofErr w:type="spellStart"/>
      <w:r w:rsidRPr="00FD473D"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 w:rsidRPr="00FD473D">
        <w:rPr>
          <w:rFonts w:ascii="Tahoma" w:hAnsi="Tahoma" w:cs="Tahoma"/>
          <w:color w:val="000000"/>
          <w:sz w:val="20"/>
          <w:szCs w:val="20"/>
        </w:rPr>
        <w:t xml:space="preserve"> z tytułu prowadzenia pozostałej działalności oraz posiadanego i/lub użytkowanego mienia”. </w:t>
      </w:r>
    </w:p>
    <w:p w:rsidR="005905A4" w:rsidRPr="00FD473D" w:rsidRDefault="005905A4" w:rsidP="005905A4">
      <w:pPr>
        <w:autoSpaceDN w:val="0"/>
        <w:ind w:left="42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905A4" w:rsidRPr="00FD473D" w:rsidRDefault="005905A4" w:rsidP="005905A4">
      <w:pPr>
        <w:autoSpaceDN w:val="0"/>
        <w:ind w:left="4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905A4" w:rsidRPr="00FD473D" w:rsidRDefault="005905A4" w:rsidP="005905A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color w:val="000000"/>
          <w:sz w:val="20"/>
          <w:szCs w:val="20"/>
        </w:rPr>
        <w:t xml:space="preserve">Prosimy o modyfikację </w:t>
      </w:r>
      <w:r w:rsidRPr="00FD473D">
        <w:rPr>
          <w:rFonts w:ascii="Tahoma" w:hAnsi="Tahoma" w:cs="Tahoma"/>
          <w:sz w:val="20"/>
          <w:szCs w:val="20"/>
        </w:rPr>
        <w:t>zapisu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 w pkt. 6 (SIWZstr.3)</w:t>
      </w:r>
    </w:p>
    <w:p w:rsidR="005905A4" w:rsidRPr="00FD473D" w:rsidRDefault="005905A4" w:rsidP="005905A4">
      <w:pPr>
        <w:autoSpaceDN w:val="0"/>
        <w:ind w:left="42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color w:val="000000"/>
          <w:sz w:val="20"/>
          <w:szCs w:val="20"/>
        </w:rPr>
        <w:t>Ubezpieczyciel przejmuje odpowiedzialność za szkody w miejscach ubezpieczenia określonych (podanych) w niniejszej SIWZ oraz w każdej innej placówce, w której Zamawiający prowadzi działalność, w tym także takich, w których posiadanie wejdzie w trakcie trwania umowy ubezpieczenia na podstawie umowy cywilnoprawnej, nabycia, przekazania, itp. Warunkiem udzielania ochrony jest zgłoszenie tego faktu ubezpieczycielowi w ciągu 10  dni od daty zakończenia każdego, sześciomiesięcznego  okresu ubezpieczenia, licząc od daty zawarcia umowy ubezpieczenia. A składka zostanie opłacona po zakończonym okresie ubezpieczenia maksymalnie do dnia 10-tego miesiąca następującego po zakończeniu okresu ubezpieczenia lub w każdym innym, dowolnym momencie trwania ochrony.</w:t>
      </w:r>
    </w:p>
    <w:p w:rsidR="005905A4" w:rsidRPr="00FD473D" w:rsidRDefault="005905A4" w:rsidP="005905A4">
      <w:pPr>
        <w:autoSpaceDN w:val="0"/>
        <w:ind w:left="42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>Odpowiedź: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 Zamawiający wyraża zgodę na zmianę zapisów w części zgodnie z wnioskiem </w:t>
      </w:r>
      <w:r>
        <w:rPr>
          <w:rFonts w:ascii="Tahoma" w:hAnsi="Tahoma" w:cs="Tahoma"/>
          <w:color w:val="000000"/>
          <w:sz w:val="20"/>
          <w:szCs w:val="20"/>
        </w:rPr>
        <w:t>Wykonawcy</w:t>
      </w:r>
      <w:r w:rsidRPr="00FD473D">
        <w:rPr>
          <w:rFonts w:ascii="Tahoma" w:hAnsi="Tahoma" w:cs="Tahoma"/>
          <w:color w:val="000000"/>
          <w:sz w:val="20"/>
          <w:szCs w:val="20"/>
        </w:rPr>
        <w:t>. Tym samym zapisy pkt. 6 założeń wspólnych (generalnych) do zadania I-</w:t>
      </w:r>
      <w:proofErr w:type="spellStart"/>
      <w:r w:rsidRPr="00FD473D">
        <w:rPr>
          <w:rFonts w:ascii="Tahoma" w:hAnsi="Tahoma" w:cs="Tahoma"/>
          <w:color w:val="000000"/>
          <w:sz w:val="20"/>
          <w:szCs w:val="20"/>
        </w:rPr>
        <w:t>szego</w:t>
      </w:r>
      <w:proofErr w:type="spellEnd"/>
      <w:r w:rsidRPr="00FD473D">
        <w:rPr>
          <w:rFonts w:ascii="Tahoma" w:hAnsi="Tahoma" w:cs="Tahoma"/>
          <w:color w:val="000000"/>
          <w:sz w:val="20"/>
          <w:szCs w:val="20"/>
        </w:rPr>
        <w:t xml:space="preserve"> przyjmują nowe brzmienie: </w:t>
      </w:r>
      <w:r>
        <w:rPr>
          <w:rFonts w:ascii="Tahoma" w:hAnsi="Tahoma" w:cs="Tahoma"/>
          <w:color w:val="000000"/>
          <w:sz w:val="20"/>
          <w:szCs w:val="20"/>
        </w:rPr>
        <w:t>„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Ubezpieczyciel przejmuje odpowiedzialność za szkody w miejscach </w:t>
      </w:r>
      <w:r w:rsidRPr="00FD473D">
        <w:rPr>
          <w:rFonts w:ascii="Tahoma" w:hAnsi="Tahoma" w:cs="Tahoma"/>
          <w:color w:val="000000"/>
          <w:sz w:val="20"/>
          <w:szCs w:val="20"/>
        </w:rPr>
        <w:lastRenderedPageBreak/>
        <w:t>ubezpieczenia określonych (podanych) w niniejszej SIWZ oraz w każdej innej placówce, w której Zamawiający prowadzi działalność, w tym także takich, w których posiadanie wejdzie w trakcie trwania umowy ubezpieczenia na podstawie umowy cywilnoprawnej, nabycia, przekazania, itp. Warunkiem udzielania ochrony jest zgłoszenie tego faktu ubezpieczycielowi w ciągu 10 dni od daty zakończenia każdego, sześciomiesięcznego  okresu ubezpieczenia, licząc od daty zawarcia umowy ubezpieczenia. Składka z tytułu zwiększenia stanu majątku zostanie opłacona w ciągu 10 dni od daty zakończenia każdego, sześciomiesięcznego  okresu ubezpieczenia lub w każdym innym, dowolnym momencie trwania ochrony stosownie do przedstawionego rozliczenia mienia objętego ochroną – dotyczy mienia podlegającego zgłoszeniu na podstawie klauzuli automatycznego pokrycia, nowo nabytych składników mienia, przyrostu majątku, zakupów, ulepszeń, itp.”.</w:t>
      </w:r>
    </w:p>
    <w:p w:rsidR="005905A4" w:rsidRPr="00FD473D" w:rsidRDefault="005905A4" w:rsidP="005905A4">
      <w:pPr>
        <w:autoSpaceDN w:val="0"/>
        <w:ind w:left="4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905A4" w:rsidRPr="00FD473D" w:rsidRDefault="005905A4" w:rsidP="005905A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 xml:space="preserve">Prosimy o uzupełnienie  zapisu w ubezpieczeniu mienia od ognia i innych zdarzeń losowych do ryzyka upadku i/lub uderzenia drzew, pojazdów </w:t>
      </w:r>
      <w:proofErr w:type="spellStart"/>
      <w:r w:rsidRPr="00FD473D">
        <w:rPr>
          <w:rFonts w:ascii="Tahoma" w:hAnsi="Tahoma" w:cs="Tahoma"/>
          <w:sz w:val="20"/>
          <w:szCs w:val="20"/>
        </w:rPr>
        <w:t>ppkt</w:t>
      </w:r>
      <w:proofErr w:type="spellEnd"/>
      <w:r w:rsidRPr="00FD473D">
        <w:rPr>
          <w:rFonts w:ascii="Tahoma" w:hAnsi="Tahoma" w:cs="Tahoma"/>
          <w:sz w:val="20"/>
          <w:szCs w:val="20"/>
        </w:rPr>
        <w:t xml:space="preserve"> 15 (SIWZ str. 6) </w:t>
      </w:r>
      <w:r w:rsidRPr="00FD473D">
        <w:rPr>
          <w:rFonts w:ascii="Tahoma" w:hAnsi="Tahoma" w:cs="Tahoma"/>
          <w:sz w:val="20"/>
          <w:szCs w:val="20"/>
          <w:lang w:eastAsia="ar-SA"/>
        </w:rPr>
        <w:t>) upadku i/lub uderzenia drzew, pojazdów i budowli na ubezpieczone mienie (w tym szkody powstałe wskutek upadku i oparcia/otarcia się mienia sąsiadującego na ubezpieczone mienie)</w:t>
      </w:r>
      <w:r w:rsidRPr="00FD473D">
        <w:rPr>
          <w:rFonts w:ascii="Tahoma" w:hAnsi="Tahoma" w:cs="Tahoma"/>
          <w:sz w:val="20"/>
          <w:szCs w:val="20"/>
        </w:rPr>
        <w:t xml:space="preserve"> w następstwie zaistnienia zdarzeń objętych zakresem ubezpieczenia;  lub też wprowadzenie dla tych zdarzeń limitu w wysokości 500.000,00PLN na jedno i wszystkie zdarzenia w okresie  ubezpieczenia.</w:t>
      </w:r>
    </w:p>
    <w:p w:rsidR="005905A4" w:rsidRPr="00FD473D" w:rsidRDefault="005905A4" w:rsidP="005905A4">
      <w:pPr>
        <w:autoSpaceDN w:val="0"/>
        <w:ind w:left="4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Odpowiedź: </w:t>
      </w:r>
      <w:r w:rsidRPr="00FD473D">
        <w:rPr>
          <w:rFonts w:ascii="Tahoma" w:hAnsi="Tahoma" w:cs="Tahoma"/>
          <w:color w:val="000000"/>
          <w:sz w:val="20"/>
          <w:szCs w:val="20"/>
        </w:rPr>
        <w:t>Brak zgody na proponowany przez Wykonawcę limit. Jednocześnie informujemy, iż możliwe jest wprowadzenie limitu na przedmiotowego ryzyko w wysokości nie niższe</w:t>
      </w:r>
      <w:r>
        <w:rPr>
          <w:rFonts w:ascii="Tahoma" w:hAnsi="Tahoma" w:cs="Tahoma"/>
          <w:color w:val="000000"/>
          <w:sz w:val="20"/>
          <w:szCs w:val="20"/>
        </w:rPr>
        <w:t>j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 niż 1 MLN PLN na  jedno i wszystkie zdarzenia w okresie ubezpieczenia.</w:t>
      </w: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5905A4" w:rsidRPr="00FD473D" w:rsidRDefault="005905A4" w:rsidP="005905A4">
      <w:pPr>
        <w:autoSpaceDN w:val="0"/>
        <w:ind w:left="4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5905A4" w:rsidRPr="00FD473D" w:rsidRDefault="005905A4" w:rsidP="005905A4">
      <w:pPr>
        <w:pStyle w:val="Akapitzlist"/>
        <w:numPr>
          <w:ilvl w:val="0"/>
          <w:numId w:val="9"/>
        </w:numPr>
        <w:autoSpaceDN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color w:val="000000"/>
          <w:sz w:val="20"/>
          <w:szCs w:val="20"/>
        </w:rPr>
        <w:t xml:space="preserve">Prosimy o wprowadzenie w ryzyku dobrowolnym </w:t>
      </w:r>
      <w:r w:rsidRPr="00FD473D">
        <w:rPr>
          <w:rFonts w:ascii="Tahoma" w:hAnsi="Tahoma" w:cs="Tahoma"/>
          <w:color w:val="000000"/>
          <w:sz w:val="20"/>
          <w:szCs w:val="20"/>
        </w:rPr>
        <w:t>odpowiedzialności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 cywilnej -  udziału własnego/franszyzy redukcyjnej dla szkód rzeczowych  –  5% wartości należnego odszkodowania bez określonego dolnego limitu kwotowego i z górnym ograniczeniem kwotowym w wysokości 10.000,- PLN, chyba że w poszczególnych opcjach (klauzulach) zaznaczono inaczej.</w:t>
      </w:r>
    </w:p>
    <w:p w:rsidR="005905A4" w:rsidRPr="00FD473D" w:rsidRDefault="005905A4" w:rsidP="005905A4">
      <w:pPr>
        <w:autoSpaceDN w:val="0"/>
        <w:ind w:left="36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Odpowiedź: 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Brak zgody na wprowadzenie proponowanego przez Wykonawcę udziału własnego. Jednocześnie informujemy, iż w pkt 1.6 SIWZ możliwe jest wprowadzenie jedynie franszyzy redukcyjnej na szkody rzeczowe w wysokości 500,- PLN w każdej szkodzie z zaznaczeniem, iż franszyza nie dotyczy </w:t>
      </w:r>
      <w:proofErr w:type="spellStart"/>
      <w:r w:rsidRPr="00FD473D">
        <w:rPr>
          <w:rFonts w:ascii="Tahoma" w:hAnsi="Tahoma" w:cs="Tahoma"/>
          <w:color w:val="000000"/>
          <w:sz w:val="20"/>
          <w:szCs w:val="20"/>
        </w:rPr>
        <w:t>ryzyk</w:t>
      </w:r>
      <w:proofErr w:type="spellEnd"/>
      <w:r w:rsidRPr="00FD473D">
        <w:rPr>
          <w:rFonts w:ascii="Tahoma" w:hAnsi="Tahoma" w:cs="Tahoma"/>
          <w:color w:val="000000"/>
          <w:sz w:val="20"/>
          <w:szCs w:val="20"/>
        </w:rPr>
        <w:t xml:space="preserve"> określonych w pkt 1.7.4., 1.7.7., 1.7.11 i 1.7.12 SIWZ.</w:t>
      </w:r>
    </w:p>
    <w:p w:rsidR="005905A4" w:rsidRPr="00FD473D" w:rsidRDefault="005905A4" w:rsidP="005905A4">
      <w:pPr>
        <w:autoSpaceDN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905A4" w:rsidRPr="00FD473D" w:rsidRDefault="005905A4" w:rsidP="005905A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FD473D">
        <w:rPr>
          <w:rFonts w:ascii="Tahoma" w:hAnsi="Tahoma" w:cs="Tahoma"/>
          <w:sz w:val="20"/>
          <w:szCs w:val="20"/>
        </w:rPr>
        <w:t>Prosimy o wprowadzenie w klauzuli przepięć (SIWZ str.8) franszyzy redukcyjnej dla szkód przepięciowych w elektronicznym sprzęcie medycznym w wysokości 5% wartości szkody, nie mniej niż 1.000,00 PLN</w:t>
      </w:r>
      <w:r w:rsidRPr="00FD473D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5905A4" w:rsidRPr="00FD473D" w:rsidRDefault="005905A4" w:rsidP="005905A4">
      <w:pPr>
        <w:autoSpaceDN w:val="0"/>
        <w:ind w:left="36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Odpowiedź: 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Brak zgody na wprowadzenie franszyzy proponowanej przez Wykonawcę. Obowiązują zapisy SIWZ. </w:t>
      </w:r>
    </w:p>
    <w:p w:rsidR="005905A4" w:rsidRPr="00FD473D" w:rsidRDefault="005905A4" w:rsidP="005905A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905A4" w:rsidRPr="00FD473D" w:rsidRDefault="005905A4" w:rsidP="005905A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eastAsia="ar-SA"/>
        </w:rPr>
      </w:pPr>
      <w:r w:rsidRPr="00FD473D">
        <w:rPr>
          <w:rFonts w:ascii="Tahoma" w:hAnsi="Tahoma" w:cs="Tahoma"/>
          <w:sz w:val="20"/>
          <w:szCs w:val="20"/>
          <w:lang w:eastAsia="ar-SA"/>
        </w:rPr>
        <w:t xml:space="preserve">Prosimy o </w:t>
      </w:r>
      <w:r w:rsidRPr="00FD473D">
        <w:rPr>
          <w:rFonts w:ascii="Tahoma" w:hAnsi="Tahoma" w:cs="Tahoma"/>
          <w:sz w:val="20"/>
          <w:szCs w:val="20"/>
        </w:rPr>
        <w:t>wykreślenie</w:t>
      </w:r>
      <w:r w:rsidRPr="00FD473D">
        <w:rPr>
          <w:rFonts w:ascii="Tahoma" w:hAnsi="Tahoma" w:cs="Tahoma"/>
          <w:sz w:val="20"/>
          <w:szCs w:val="20"/>
          <w:lang w:eastAsia="ar-SA"/>
        </w:rPr>
        <w:t xml:space="preserve">  </w:t>
      </w:r>
      <w:proofErr w:type="spellStart"/>
      <w:r w:rsidRPr="00FD473D">
        <w:rPr>
          <w:rFonts w:ascii="Tahoma" w:hAnsi="Tahoma" w:cs="Tahoma"/>
          <w:sz w:val="20"/>
          <w:szCs w:val="20"/>
          <w:lang w:eastAsia="ar-SA"/>
        </w:rPr>
        <w:t>ppkt</w:t>
      </w:r>
      <w:proofErr w:type="spellEnd"/>
      <w:r w:rsidRPr="00FD473D">
        <w:rPr>
          <w:rFonts w:ascii="Tahoma" w:hAnsi="Tahoma" w:cs="Tahoma"/>
          <w:sz w:val="20"/>
          <w:szCs w:val="20"/>
          <w:lang w:eastAsia="ar-SA"/>
        </w:rPr>
        <w:t>-u  3.11.9.3. (SIWZ str.10) w klauzuli drobnych prac remontowo-modernizacyjnych.</w:t>
      </w:r>
    </w:p>
    <w:p w:rsidR="005905A4" w:rsidRPr="00FD473D" w:rsidRDefault="005905A4" w:rsidP="005905A4">
      <w:pPr>
        <w:autoSpaceDN w:val="0"/>
        <w:ind w:left="360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b/>
          <w:sz w:val="20"/>
          <w:szCs w:val="20"/>
          <w:u w:val="single"/>
        </w:rPr>
        <w:t>Odpowiedź:</w:t>
      </w:r>
      <w:r w:rsidRPr="00FD473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FD473D">
        <w:rPr>
          <w:rFonts w:ascii="Tahoma" w:hAnsi="Tahoma" w:cs="Tahoma"/>
          <w:color w:val="000000"/>
          <w:sz w:val="20"/>
          <w:szCs w:val="20"/>
        </w:rPr>
        <w:t>Zamawiający</w:t>
      </w:r>
      <w:r w:rsidRPr="00FD473D">
        <w:rPr>
          <w:rFonts w:ascii="Tahoma" w:hAnsi="Tahoma" w:cs="Tahoma"/>
          <w:sz w:val="20"/>
          <w:szCs w:val="20"/>
          <w:lang w:eastAsia="ar-SA"/>
        </w:rPr>
        <w:t xml:space="preserve"> wyraża zgodę na wprowadzenie zmiany zgodnie z wnioskiem i tym samym zastępuje dotychczasowy zapis nowym w brzmieniu: „ </w:t>
      </w:r>
    </w:p>
    <w:p w:rsidR="005905A4" w:rsidRPr="00FD473D" w:rsidRDefault="005905A4" w:rsidP="005905A4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1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1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1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1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1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1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1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1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1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1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2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2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2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2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2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2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2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pStyle w:val="Akapitzlist"/>
        <w:numPr>
          <w:ilvl w:val="2"/>
          <w:numId w:val="10"/>
        </w:numPr>
        <w:tabs>
          <w:tab w:val="left" w:pos="851"/>
        </w:tabs>
        <w:suppressAutoHyphens/>
        <w:autoSpaceDE w:val="0"/>
        <w:contextualSpacing w:val="0"/>
        <w:jc w:val="both"/>
        <w:rPr>
          <w:rFonts w:ascii="Tahoma" w:hAnsi="Tahoma" w:cs="Tahoma"/>
          <w:b/>
          <w:vanish/>
          <w:sz w:val="20"/>
          <w:szCs w:val="20"/>
          <w:lang w:eastAsia="ar-SA"/>
        </w:rPr>
      </w:pPr>
    </w:p>
    <w:p w:rsidR="005905A4" w:rsidRPr="00FD473D" w:rsidRDefault="005905A4" w:rsidP="005905A4">
      <w:pPr>
        <w:numPr>
          <w:ilvl w:val="2"/>
          <w:numId w:val="10"/>
        </w:numPr>
        <w:tabs>
          <w:tab w:val="left" w:pos="851"/>
        </w:tabs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D473D">
        <w:rPr>
          <w:rFonts w:ascii="Tahoma" w:hAnsi="Tahoma" w:cs="Tahoma"/>
          <w:b/>
          <w:sz w:val="20"/>
          <w:szCs w:val="20"/>
          <w:lang w:eastAsia="ar-SA"/>
        </w:rPr>
        <w:t>klauzula drobnych prac remontowo-modernizacyjnych</w:t>
      </w:r>
      <w:r w:rsidRPr="00FD473D">
        <w:rPr>
          <w:rFonts w:ascii="Tahoma" w:hAnsi="Tahoma" w:cs="Tahoma"/>
          <w:sz w:val="20"/>
          <w:szCs w:val="20"/>
          <w:lang w:eastAsia="ar-SA"/>
        </w:rPr>
        <w:t xml:space="preserve"> - rozszerzenie zakresu ubezpieczenia o szkody powstałe w trakcie i w wyniku prowadzenia przez Ubezpieczonego lub na Jego zlecenie drobnych prac remontowo-modernizacyjnych, tj. takich które nie wiążą się z naruszeniem konstrukcji nośnej obiektu lub konstrukcji dachu i dla których nie są wymagane przepisami prawa odrębne zezwolenia lub też konieczność ich zgłaszania do odpowiednich organów administracyjnych z następującymi limitami odpowiedzialności:</w:t>
      </w:r>
    </w:p>
    <w:p w:rsidR="005905A4" w:rsidRPr="00FD473D" w:rsidRDefault="005905A4" w:rsidP="005905A4">
      <w:pPr>
        <w:numPr>
          <w:ilvl w:val="3"/>
          <w:numId w:val="10"/>
        </w:numPr>
        <w:tabs>
          <w:tab w:val="left" w:pos="851"/>
        </w:tabs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D473D">
        <w:rPr>
          <w:rFonts w:ascii="Tahoma" w:hAnsi="Tahoma" w:cs="Tahoma"/>
          <w:sz w:val="20"/>
          <w:szCs w:val="20"/>
          <w:lang w:eastAsia="ar-SA"/>
        </w:rPr>
        <w:t>w przedmiocie ubezpieczenia – do pełnej sumy ubezpieczenia;</w:t>
      </w:r>
    </w:p>
    <w:p w:rsidR="005905A4" w:rsidRPr="00FD473D" w:rsidRDefault="005905A4" w:rsidP="005905A4">
      <w:pPr>
        <w:numPr>
          <w:ilvl w:val="3"/>
          <w:numId w:val="10"/>
        </w:numPr>
        <w:tabs>
          <w:tab w:val="left" w:pos="1701"/>
        </w:tabs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D473D">
        <w:rPr>
          <w:rFonts w:ascii="Tahoma" w:hAnsi="Tahoma" w:cs="Tahoma"/>
          <w:sz w:val="20"/>
          <w:szCs w:val="20"/>
          <w:lang w:eastAsia="ar-SA"/>
        </w:rPr>
        <w:t>w przedmiocie  drobnych prac remontowo-modernizacyjnych do kwoty 250.000,- PLN na jedno i wszystkie zdarzenia w okresie ubezpieczenia;</w:t>
      </w:r>
    </w:p>
    <w:p w:rsidR="005905A4" w:rsidRPr="00FD473D" w:rsidRDefault="005905A4" w:rsidP="005905A4">
      <w:pPr>
        <w:numPr>
          <w:ilvl w:val="3"/>
          <w:numId w:val="10"/>
        </w:numPr>
        <w:tabs>
          <w:tab w:val="left" w:pos="1701"/>
        </w:tabs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D473D">
        <w:rPr>
          <w:rFonts w:ascii="Tahoma" w:hAnsi="Tahoma" w:cs="Tahoma"/>
          <w:sz w:val="20"/>
          <w:szCs w:val="20"/>
          <w:lang w:eastAsia="ar-SA"/>
        </w:rPr>
        <w:t xml:space="preserve">ubezpieczyciel zachowuje prawo do regresu z tytułu wypłaconego odszkodowania w przypadku szkód, </w:t>
      </w:r>
      <w:r w:rsidRPr="00FD473D">
        <w:rPr>
          <w:rFonts w:ascii="Tahoma" w:hAnsi="Tahoma" w:cs="Tahoma"/>
          <w:sz w:val="20"/>
          <w:szCs w:val="20"/>
        </w:rPr>
        <w:t>za które odpowiedzialność ponosi inny podmiot niż Ubezpieczony</w:t>
      </w:r>
      <w:r>
        <w:rPr>
          <w:rFonts w:ascii="Tahoma" w:hAnsi="Tahoma" w:cs="Tahoma"/>
          <w:sz w:val="20"/>
          <w:szCs w:val="20"/>
        </w:rPr>
        <w:t>.</w:t>
      </w:r>
    </w:p>
    <w:p w:rsidR="005905A4" w:rsidRPr="00FD473D" w:rsidRDefault="005905A4" w:rsidP="005905A4">
      <w:pPr>
        <w:tabs>
          <w:tab w:val="left" w:pos="851"/>
        </w:tabs>
        <w:suppressAutoHyphens/>
        <w:autoSpaceDE w:val="0"/>
        <w:jc w:val="both"/>
        <w:rPr>
          <w:rFonts w:ascii="Tahoma" w:hAnsi="Tahoma" w:cs="Tahoma"/>
          <w:sz w:val="20"/>
          <w:szCs w:val="20"/>
        </w:rPr>
      </w:pPr>
    </w:p>
    <w:p w:rsidR="005905A4" w:rsidRPr="00FD473D" w:rsidRDefault="005905A4" w:rsidP="005905A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  <w:lang w:eastAsia="ar-SA"/>
        </w:rPr>
      </w:pPr>
      <w:r w:rsidRPr="00FD473D">
        <w:rPr>
          <w:rFonts w:ascii="Tahoma" w:hAnsi="Tahoma" w:cs="Tahoma"/>
          <w:sz w:val="20"/>
          <w:szCs w:val="20"/>
          <w:lang w:eastAsia="ar-SA"/>
        </w:rPr>
        <w:t>Prosimy o uzupełnienie treści  klauzuli szkód elektrycznych (SIWZ str.10) o zapis:</w:t>
      </w:r>
    </w:p>
    <w:p w:rsidR="005905A4" w:rsidRPr="00FD473D" w:rsidRDefault="005905A4" w:rsidP="005905A4">
      <w:pPr>
        <w:tabs>
          <w:tab w:val="left" w:pos="851"/>
        </w:tabs>
        <w:suppressAutoHyphens/>
        <w:autoSpaceDE w:val="0"/>
        <w:ind w:left="420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- ni</w:t>
      </w:r>
      <w:r w:rsidRPr="00FD473D">
        <w:rPr>
          <w:rFonts w:ascii="Tahoma" w:hAnsi="Tahoma" w:cs="Tahoma"/>
          <w:sz w:val="20"/>
          <w:szCs w:val="20"/>
          <w:lang w:eastAsia="ar-SA"/>
        </w:rPr>
        <w:t>niejsza klauzula nie ma zastosowania do urządzeń o jednostkowej sumie ubezpieczenia  ponad 200.000,00zł,</w:t>
      </w:r>
    </w:p>
    <w:p w:rsidR="005905A4" w:rsidRPr="00FD473D" w:rsidRDefault="005905A4" w:rsidP="005905A4">
      <w:pPr>
        <w:pStyle w:val="Akapitzlist"/>
        <w:tabs>
          <w:tab w:val="left" w:pos="851"/>
        </w:tabs>
        <w:suppressAutoHyphens/>
        <w:autoSpaceDE w:val="0"/>
        <w:ind w:left="420"/>
        <w:jc w:val="both"/>
        <w:rPr>
          <w:rFonts w:ascii="Tahoma" w:hAnsi="Tahoma" w:cs="Tahoma"/>
          <w:sz w:val="20"/>
          <w:szCs w:val="20"/>
          <w:lang w:eastAsia="ar-SA"/>
        </w:rPr>
      </w:pPr>
      <w:r w:rsidRPr="00FD473D">
        <w:rPr>
          <w:rFonts w:ascii="Tahoma" w:hAnsi="Tahoma" w:cs="Tahoma"/>
          <w:sz w:val="20"/>
          <w:szCs w:val="20"/>
          <w:lang w:eastAsia="ar-SA"/>
        </w:rPr>
        <w:t>- limit odpowiedzialności za szkody objęte ochroną ubezpieczenia na podstawie klauzuli: 50.000,00PLN na jedno i wszystkie zdarzenia w okresie ubezpieczenia</w:t>
      </w:r>
    </w:p>
    <w:p w:rsidR="005905A4" w:rsidRPr="00FD473D" w:rsidRDefault="005905A4" w:rsidP="005905A4">
      <w:pPr>
        <w:pStyle w:val="Akapitzlist"/>
        <w:tabs>
          <w:tab w:val="left" w:pos="851"/>
        </w:tabs>
        <w:suppressAutoHyphens/>
        <w:autoSpaceDE w:val="0"/>
        <w:ind w:left="420"/>
        <w:jc w:val="both"/>
        <w:rPr>
          <w:rFonts w:ascii="Tahoma" w:hAnsi="Tahoma" w:cs="Tahoma"/>
          <w:sz w:val="20"/>
          <w:szCs w:val="20"/>
          <w:lang w:eastAsia="ar-SA"/>
        </w:rPr>
      </w:pPr>
      <w:r w:rsidRPr="00FD473D">
        <w:rPr>
          <w:rFonts w:ascii="Tahoma" w:hAnsi="Tahoma" w:cs="Tahoma"/>
          <w:sz w:val="20"/>
          <w:szCs w:val="20"/>
          <w:lang w:eastAsia="ar-SA"/>
        </w:rPr>
        <w:lastRenderedPageBreak/>
        <w:t>- franszyza redukcyjna/udz</w:t>
      </w:r>
      <w:r>
        <w:rPr>
          <w:rFonts w:ascii="Tahoma" w:hAnsi="Tahoma" w:cs="Tahoma"/>
          <w:sz w:val="20"/>
          <w:szCs w:val="20"/>
          <w:lang w:eastAsia="ar-SA"/>
        </w:rPr>
        <w:t>i</w:t>
      </w:r>
      <w:r w:rsidRPr="00FD473D">
        <w:rPr>
          <w:rFonts w:ascii="Tahoma" w:hAnsi="Tahoma" w:cs="Tahoma"/>
          <w:sz w:val="20"/>
          <w:szCs w:val="20"/>
          <w:lang w:eastAsia="ar-SA"/>
        </w:rPr>
        <w:t xml:space="preserve">ał własny: 5% należnego odszkodowania, nie mniej niż 2.000,00PLN </w:t>
      </w:r>
    </w:p>
    <w:p w:rsidR="005905A4" w:rsidRPr="00FD473D" w:rsidRDefault="005905A4" w:rsidP="005905A4">
      <w:pPr>
        <w:pStyle w:val="Akapitzlist"/>
        <w:tabs>
          <w:tab w:val="left" w:pos="851"/>
        </w:tabs>
        <w:suppressAutoHyphens/>
        <w:autoSpaceDE w:val="0"/>
        <w:ind w:left="420"/>
        <w:jc w:val="both"/>
        <w:rPr>
          <w:rFonts w:ascii="Tahoma" w:hAnsi="Tahoma" w:cs="Tahoma"/>
          <w:sz w:val="20"/>
          <w:szCs w:val="20"/>
          <w:lang w:eastAsia="ar-SA"/>
        </w:rPr>
      </w:pPr>
      <w:r w:rsidRPr="00FD473D">
        <w:rPr>
          <w:rFonts w:ascii="Tahoma" w:hAnsi="Tahoma" w:cs="Tahoma"/>
          <w:sz w:val="20"/>
          <w:szCs w:val="20"/>
          <w:lang w:eastAsia="ar-SA"/>
        </w:rPr>
        <w:t xml:space="preserve"> lub też: </w:t>
      </w:r>
    </w:p>
    <w:p w:rsidR="005905A4" w:rsidRPr="00FD473D" w:rsidRDefault="005905A4" w:rsidP="005905A4">
      <w:pPr>
        <w:pStyle w:val="Akapitzlist"/>
        <w:tabs>
          <w:tab w:val="left" w:pos="851"/>
        </w:tabs>
        <w:suppressAutoHyphens/>
        <w:autoSpaceDE w:val="0"/>
        <w:ind w:left="420"/>
        <w:jc w:val="both"/>
        <w:rPr>
          <w:rFonts w:ascii="Tahoma" w:hAnsi="Tahoma" w:cs="Tahoma"/>
          <w:sz w:val="20"/>
          <w:szCs w:val="20"/>
          <w:lang w:eastAsia="ar-SA"/>
        </w:rPr>
      </w:pPr>
      <w:r w:rsidRPr="00FD473D">
        <w:rPr>
          <w:rFonts w:ascii="Tahoma" w:hAnsi="Tahoma" w:cs="Tahoma"/>
          <w:sz w:val="20"/>
          <w:szCs w:val="20"/>
          <w:lang w:eastAsia="ar-SA"/>
        </w:rPr>
        <w:t xml:space="preserve">- franszyza redukcyjna/udział własny:  2.000,00PLN </w:t>
      </w:r>
    </w:p>
    <w:p w:rsidR="005905A4" w:rsidRPr="00FD473D" w:rsidRDefault="005905A4" w:rsidP="005905A4">
      <w:pPr>
        <w:autoSpaceDN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Odpowiedź: 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Brak zgody na wprowadzenie zapisów proponowanych przez Wykonawcę. Obowiązują zapisy SIWZ. </w:t>
      </w:r>
    </w:p>
    <w:p w:rsidR="005905A4" w:rsidRPr="00FD473D" w:rsidRDefault="005905A4" w:rsidP="005905A4">
      <w:pPr>
        <w:tabs>
          <w:tab w:val="left" w:pos="851"/>
        </w:tabs>
        <w:suppressAutoHyphens/>
        <w:autoSpaceDE w:val="0"/>
        <w:jc w:val="both"/>
        <w:rPr>
          <w:rFonts w:ascii="Tahoma" w:hAnsi="Tahoma" w:cs="Tahoma"/>
          <w:sz w:val="20"/>
          <w:szCs w:val="20"/>
        </w:rPr>
      </w:pPr>
    </w:p>
    <w:p w:rsidR="005905A4" w:rsidRPr="00FD473D" w:rsidRDefault="005905A4" w:rsidP="005905A4">
      <w:pPr>
        <w:tabs>
          <w:tab w:val="left" w:pos="851"/>
        </w:tabs>
        <w:suppressAutoHyphens/>
        <w:autoSpaceDE w:val="0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8. Proszę o potwierdzenie, że w ubezpieczeniu od kradzieży z włamaniem i rabunku oraz wandalizmu - dla ubezpieczonych wartości pienieżnych (pkt 4 SIWZ str.11) możemy przyjąć definicję:</w:t>
      </w:r>
    </w:p>
    <w:p w:rsidR="005905A4" w:rsidRPr="00FD473D" w:rsidRDefault="005905A4" w:rsidP="005905A4">
      <w:pPr>
        <w:autoSpaceDE w:val="0"/>
        <w:autoSpaceDN w:val="0"/>
        <w:adjustRightInd w:val="0"/>
        <w:ind w:firstLine="142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Za wartości pieniężne i przedmioty wartościowe - uważa się:</w:t>
      </w:r>
    </w:p>
    <w:p w:rsidR="005905A4" w:rsidRPr="00FD473D" w:rsidRDefault="005905A4" w:rsidP="005905A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krajowe i zagraniczne znaki pieniężne,</w:t>
      </w:r>
    </w:p>
    <w:p w:rsidR="005905A4" w:rsidRPr="00FD473D" w:rsidRDefault="005905A4" w:rsidP="005905A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czeki, z wyjątkiem czeków zakreślonych, skasowanych lub opatrzonych indosem pełnomocniczym, zawierającym wzmiankę „wartość do inkasa”, „należność do inkasa” lub inną o podobnym charakterze,</w:t>
      </w:r>
    </w:p>
    <w:p w:rsidR="005905A4" w:rsidRPr="00FD473D" w:rsidRDefault="005905A4" w:rsidP="005905A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weksle, z wyjątkiem weksli opatrzonych indosem pełnomocniczym, zawierającym wzmiankę „wartość do inkasa” lub inną o podobnym charakterze,</w:t>
      </w:r>
    </w:p>
    <w:p w:rsidR="005905A4" w:rsidRPr="00FD473D" w:rsidRDefault="005905A4" w:rsidP="005905A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biżuterię, kamienie szlachetne, metale szlachetne, perły, bursztyn, dzieła sztuki oraz inne przedmioty o charakterze artystycznym, zabytkowym lub unikatowym,</w:t>
      </w:r>
    </w:p>
    <w:p w:rsidR="005905A4" w:rsidRPr="00FD473D" w:rsidRDefault="005905A4" w:rsidP="005905A4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>inne dokumenty zastępujące w obrocie gotówkę, z wyłączeniem kart płatniczych, kredytowych, charge i debetowych,</w:t>
      </w:r>
    </w:p>
    <w:p w:rsidR="005905A4" w:rsidRPr="00FD473D" w:rsidRDefault="005905A4" w:rsidP="005905A4">
      <w:pPr>
        <w:tabs>
          <w:tab w:val="left" w:pos="360"/>
        </w:tabs>
        <w:suppressAutoHyphens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Odpowiedź: 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Podana przez Wykonawcę definicja jest tożsama z definicja Zamawiającego podana w SIWZ (pkt e) w definicji kradzieży zwykłej); tym samym Zamawiający potwierdza iż ma ona zastosowanie także całego pkt 4 wg opisu przedmiotu zamówienia SIWZ:  </w:t>
      </w:r>
      <w:r w:rsidRPr="00FD473D">
        <w:rPr>
          <w:rFonts w:ascii="Tahoma" w:hAnsi="Tahoma" w:cs="Tahoma"/>
          <w:sz w:val="20"/>
          <w:szCs w:val="20"/>
          <w:lang w:eastAsia="ar-SA"/>
        </w:rPr>
        <w:t>Ubezpieczenie od kradzieży z włamaniem i rabunku oraz wandalizmu.</w:t>
      </w:r>
    </w:p>
    <w:p w:rsidR="005905A4" w:rsidRPr="00FD473D" w:rsidRDefault="005905A4" w:rsidP="005905A4">
      <w:pPr>
        <w:tabs>
          <w:tab w:val="left" w:pos="360"/>
        </w:tabs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</w:p>
    <w:p w:rsidR="005905A4" w:rsidRPr="00FD473D" w:rsidRDefault="005905A4" w:rsidP="005905A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 xml:space="preserve">9. Czy zamawiający dopuszcza zmianę triggera z act committed na  loss occurance, czyli zakresem ubezpieczenia objęte są  szkody będące  następstwem wypadku, który miał  miejsce w okresie ubezpieczenia (zgłoszenie roszczenia zg z ustawowymi </w:t>
      </w:r>
      <w:r w:rsidRPr="00FD473D">
        <w:rPr>
          <w:rFonts w:ascii="Tahoma" w:hAnsi="Tahoma" w:cs="Tahoma"/>
          <w:sz w:val="20"/>
          <w:szCs w:val="20"/>
        </w:rPr>
        <w:tab/>
        <w:t>terminami).</w:t>
      </w:r>
    </w:p>
    <w:p w:rsidR="005905A4" w:rsidRPr="00FD473D" w:rsidRDefault="005905A4" w:rsidP="005905A4">
      <w:pPr>
        <w:autoSpaceDN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Odpowiedź: 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Brak zgody na wprowadzenie zapisów proponowanych przez Wykonawcę. Obowiązują zapisy SIWZ. </w:t>
      </w:r>
    </w:p>
    <w:p w:rsidR="005905A4" w:rsidRPr="00FD473D" w:rsidRDefault="005905A4" w:rsidP="005905A4">
      <w:pPr>
        <w:tabs>
          <w:tab w:val="left" w:pos="851"/>
        </w:tabs>
        <w:suppressAutoHyphens/>
        <w:autoSpaceDE w:val="0"/>
        <w:jc w:val="both"/>
        <w:rPr>
          <w:rFonts w:ascii="Tahoma" w:hAnsi="Tahoma" w:cs="Tahoma"/>
          <w:sz w:val="20"/>
          <w:szCs w:val="20"/>
        </w:rPr>
      </w:pPr>
    </w:p>
    <w:p w:rsidR="005905A4" w:rsidRPr="00FD473D" w:rsidRDefault="005905A4" w:rsidP="005905A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73D">
        <w:rPr>
          <w:rFonts w:ascii="Tahoma" w:hAnsi="Tahoma" w:cs="Tahoma"/>
          <w:sz w:val="20"/>
          <w:szCs w:val="20"/>
        </w:rPr>
        <w:t xml:space="preserve">10. Prosimy o wykreślenie klauzuli reprezentantów  i przedstawicieli ustawowych z SIWZ </w:t>
      </w:r>
      <w:r>
        <w:rPr>
          <w:rFonts w:ascii="Tahoma" w:hAnsi="Tahoma" w:cs="Tahoma"/>
          <w:sz w:val="20"/>
          <w:szCs w:val="20"/>
        </w:rPr>
        <w:t xml:space="preserve">(str. 16 </w:t>
      </w:r>
      <w:r w:rsidRPr="00FD473D">
        <w:rPr>
          <w:rFonts w:ascii="Tahoma" w:hAnsi="Tahoma" w:cs="Tahoma"/>
          <w:sz w:val="20"/>
          <w:szCs w:val="20"/>
        </w:rPr>
        <w:t>SIWZ):</w:t>
      </w:r>
    </w:p>
    <w:p w:rsidR="005905A4" w:rsidRPr="00FD473D" w:rsidRDefault="005905A4" w:rsidP="005905A4">
      <w:pPr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Odpowiedź: </w:t>
      </w:r>
      <w:r w:rsidRPr="00FD473D">
        <w:rPr>
          <w:rFonts w:ascii="Tahoma" w:hAnsi="Tahoma" w:cs="Tahoma"/>
          <w:color w:val="000000"/>
          <w:sz w:val="20"/>
          <w:szCs w:val="20"/>
        </w:rPr>
        <w:t>Brak zgody na wykreślenie zapisów przedmiotowej klauzuli; Jednocześnie Zamawiający modyfikuje zapisy poprzez zastąpienie dotychczasowej treści w całości nowym brzmieniem: „</w:t>
      </w:r>
      <w:r w:rsidRPr="00FD473D">
        <w:rPr>
          <w:rFonts w:ascii="Tahoma" w:hAnsi="Tahoma" w:cs="Tahoma"/>
          <w:b/>
          <w:color w:val="000000"/>
          <w:sz w:val="20"/>
          <w:szCs w:val="20"/>
        </w:rPr>
        <w:t>Klauzula reprezentantów i przedstawicieli ustawowych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 ograniczająca brak odpowiedzialności zakładu ubezpieczeń za szkody spowodowane winą umyślną lub wskutek rażącego niedbalstwa tylko do reprezentantów Ubezpieczającego, tj. Dyrektora Szpitala; </w:t>
      </w:r>
      <w:r>
        <w:rPr>
          <w:rFonts w:ascii="Tahoma" w:hAnsi="Tahoma" w:cs="Tahoma"/>
          <w:color w:val="000000"/>
          <w:sz w:val="20"/>
          <w:szCs w:val="20"/>
        </w:rPr>
        <w:t xml:space="preserve">nie dotyczy </w:t>
      </w:r>
      <w:r w:rsidRPr="00FD473D">
        <w:rPr>
          <w:rFonts w:ascii="Tahoma" w:hAnsi="Tahoma" w:cs="Tahoma"/>
          <w:color w:val="000000"/>
          <w:sz w:val="20"/>
          <w:szCs w:val="20"/>
        </w:rPr>
        <w:t>pkt 1.1 niniejszego zadania”</w:t>
      </w:r>
    </w:p>
    <w:p w:rsidR="005905A4" w:rsidRPr="00FD473D" w:rsidRDefault="005905A4" w:rsidP="005905A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905A4" w:rsidRPr="00FD473D" w:rsidRDefault="005905A4" w:rsidP="005905A4">
      <w:pPr>
        <w:pStyle w:val="Akapitzlist"/>
        <w:numPr>
          <w:ilvl w:val="0"/>
          <w:numId w:val="11"/>
        </w:numPr>
        <w:autoSpaceDN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color w:val="000000"/>
          <w:sz w:val="20"/>
          <w:szCs w:val="20"/>
        </w:rPr>
        <w:t>Prosimy o zweryfikowanie i sprostowanie w SIWZ informacji o przebiegu szkodowym dot.  zgłoszonego roszczenia w 2011 roku w wysokości 30.000,00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D473D">
        <w:rPr>
          <w:rFonts w:ascii="Tahoma" w:hAnsi="Tahoma" w:cs="Tahoma"/>
          <w:color w:val="000000"/>
          <w:sz w:val="20"/>
          <w:szCs w:val="20"/>
        </w:rPr>
        <w:t>zł (sprawa w toku w Sądzie) oraz informację o roku zdarzenia  dla roszczenia w wysokości  5.000,00PLN (opisane jako sprawa o odszkodowanie ).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5905A4" w:rsidRPr="00FD473D" w:rsidRDefault="005905A4" w:rsidP="005905A4">
      <w:pPr>
        <w:tabs>
          <w:tab w:val="left" w:pos="851"/>
        </w:tabs>
        <w:suppressAutoHyphens/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D473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Odpowiedź: </w:t>
      </w:r>
      <w:r w:rsidRPr="00FD473D">
        <w:rPr>
          <w:rFonts w:ascii="Tahoma" w:hAnsi="Tahoma" w:cs="Tahoma"/>
          <w:color w:val="000000"/>
          <w:sz w:val="20"/>
          <w:szCs w:val="20"/>
        </w:rPr>
        <w:t xml:space="preserve">Zamawiający potwierdza niniejszym, iż podana rezerwa dotycząca szkody </w:t>
      </w:r>
      <w:r w:rsidRPr="005905A4">
        <w:rPr>
          <w:rFonts w:ascii="Tahoma" w:hAnsi="Tahoma" w:cs="Tahoma"/>
          <w:color w:val="000000"/>
          <w:sz w:val="20"/>
          <w:szCs w:val="20"/>
        </w:rPr>
        <w:t>osobowej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Pr="00FD473D">
        <w:rPr>
          <w:rFonts w:ascii="Tahoma" w:hAnsi="Tahoma" w:cs="Tahoma"/>
          <w:color w:val="000000"/>
          <w:sz w:val="20"/>
          <w:szCs w:val="20"/>
        </w:rPr>
        <w:t>z 2011 roku wynosi aktualnie 30.000,- PLN</w:t>
      </w:r>
      <w:r>
        <w:rPr>
          <w:rFonts w:ascii="Tahoma" w:hAnsi="Tahoma" w:cs="Tahoma"/>
          <w:color w:val="000000"/>
          <w:sz w:val="20"/>
          <w:szCs w:val="20"/>
        </w:rPr>
        <w:t xml:space="preserve"> (zgodnie z roszczeniem Poszkodowanego)</w:t>
      </w:r>
      <w:r w:rsidRPr="00FD473D">
        <w:rPr>
          <w:rFonts w:ascii="Tahoma" w:hAnsi="Tahoma" w:cs="Tahoma"/>
          <w:color w:val="000000"/>
          <w:sz w:val="20"/>
          <w:szCs w:val="20"/>
        </w:rPr>
        <w:t>; Drugie roszczenie (5.000,- PLN zgłoszono w 2011 roku</w:t>
      </w:r>
      <w:r>
        <w:rPr>
          <w:rFonts w:ascii="Tahoma" w:hAnsi="Tahoma" w:cs="Tahoma"/>
          <w:color w:val="000000"/>
          <w:sz w:val="20"/>
          <w:szCs w:val="20"/>
        </w:rPr>
        <w:t xml:space="preserve">) </w:t>
      </w:r>
      <w:r w:rsidRPr="00FD473D">
        <w:rPr>
          <w:rFonts w:ascii="Tahoma" w:hAnsi="Tahoma" w:cs="Tahoma"/>
          <w:color w:val="000000"/>
          <w:sz w:val="20"/>
          <w:szCs w:val="20"/>
        </w:rPr>
        <w:t>zostało przez ubezpieczyciela odmówione, aktualnie sprawa w sądzie.</w:t>
      </w:r>
    </w:p>
    <w:p w:rsidR="005905A4" w:rsidRPr="00FD473D" w:rsidRDefault="005905A4" w:rsidP="005905A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905A4" w:rsidRDefault="005905A4" w:rsidP="005905A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D473D">
        <w:rPr>
          <w:rFonts w:ascii="Tahoma" w:hAnsi="Tahoma" w:cs="Tahoma"/>
          <w:b/>
          <w:bCs/>
          <w:sz w:val="20"/>
          <w:szCs w:val="20"/>
        </w:rPr>
        <w:t>Powyższe staje się obowiązujące dla wszystkich zainteresowanych Wykonawców. Treść specyfikacji wraz z załącznikami  należy odczytywać z uwzględnieniem wprowadzonej zmiany jak powyżej. Z uwagi na fakt, że przekazane przez Zamawiającego informacje są w części powtórzeniem danych już zawartych w SIWZ, Zamawiający nie przedłuża terminu składania ofert.</w:t>
      </w:r>
    </w:p>
    <w:p w:rsidR="005905A4" w:rsidRDefault="005905A4" w:rsidP="005905A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905A4" w:rsidRDefault="005905A4" w:rsidP="005905A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905A4" w:rsidRDefault="005905A4" w:rsidP="005905A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905A4" w:rsidRDefault="005905A4" w:rsidP="005905A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905A4" w:rsidRPr="00B0013D" w:rsidRDefault="005905A4" w:rsidP="005905A4">
      <w:pPr>
        <w:pStyle w:val="Tytu"/>
        <w:pBdr>
          <w:bottom w:val="single" w:sz="4" w:space="1" w:color="auto"/>
        </w:pBdr>
        <w:tabs>
          <w:tab w:val="center" w:pos="5256"/>
        </w:tabs>
        <w:rPr>
          <w:rFonts w:ascii="Tahoma" w:hAnsi="Tahoma"/>
          <w:sz w:val="20"/>
          <w:szCs w:val="20"/>
        </w:rPr>
      </w:pPr>
    </w:p>
    <w:p w:rsidR="005905A4" w:rsidRPr="005905A4" w:rsidRDefault="005905A4" w:rsidP="005905A4">
      <w:pPr>
        <w:pStyle w:val="Tytu"/>
        <w:tabs>
          <w:tab w:val="center" w:pos="5256"/>
          <w:tab w:val="right" w:pos="9792"/>
        </w:tabs>
        <w:rPr>
          <w:rFonts w:ascii="Tahoma" w:hAnsi="Tahoma"/>
          <w:sz w:val="20"/>
          <w:szCs w:val="20"/>
        </w:rPr>
      </w:pPr>
      <w:r w:rsidRPr="00B0013D">
        <w:rPr>
          <w:rFonts w:ascii="Tahoma" w:hAnsi="Tahoma"/>
          <w:b w:val="0"/>
          <w:sz w:val="20"/>
          <w:szCs w:val="20"/>
        </w:rPr>
        <w:t xml:space="preserve">(Podpis </w:t>
      </w:r>
      <w:r>
        <w:rPr>
          <w:rFonts w:ascii="Tahoma" w:hAnsi="Tahoma"/>
          <w:b w:val="0"/>
          <w:sz w:val="20"/>
          <w:szCs w:val="20"/>
        </w:rPr>
        <w:t>Pełnomocnika</w:t>
      </w:r>
      <w:r w:rsidRPr="00B0013D">
        <w:rPr>
          <w:rFonts w:ascii="Tahoma" w:hAnsi="Tahoma"/>
          <w:b w:val="0"/>
          <w:sz w:val="20"/>
          <w:szCs w:val="20"/>
        </w:rPr>
        <w:t xml:space="preserve"> Zamawiającego)</w:t>
      </w:r>
    </w:p>
    <w:sectPr w:rsidR="005905A4" w:rsidRPr="005905A4" w:rsidSect="005905A4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47" w:right="1418" w:bottom="1276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A4" w:rsidRDefault="005905A4">
      <w:r>
        <w:separator/>
      </w:r>
    </w:p>
  </w:endnote>
  <w:endnote w:type="continuationSeparator" w:id="0">
    <w:p w:rsidR="005905A4" w:rsidRDefault="0059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0E" w:rsidRDefault="00690C0E">
    <w:pPr>
      <w:pStyle w:val="Stopka"/>
      <w:pBdr>
        <w:top w:val="single" w:sz="4" w:space="0" w:color="000000"/>
      </w:pBdr>
      <w:rPr>
        <w:noProof/>
      </w:rPr>
    </w:pPr>
  </w:p>
  <w:p w:rsidR="00690C0E" w:rsidRDefault="00690C0E">
    <w:pPr>
      <w:pStyle w:val="Stopka"/>
      <w:pBdr>
        <w:top w:val="single" w:sz="4" w:space="0" w:color="000000"/>
      </w:pBdr>
    </w:pPr>
    <w:r>
      <w:rPr>
        <w:noProof/>
      </w:rPr>
      <w:drawing>
        <wp:inline distT="0" distB="0" distL="0" distR="0">
          <wp:extent cx="5758815" cy="5772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A4" w:rsidRDefault="005905A4">
      <w:r>
        <w:separator/>
      </w:r>
    </w:p>
  </w:footnote>
  <w:footnote w:type="continuationSeparator" w:id="0">
    <w:p w:rsidR="005905A4" w:rsidRDefault="0059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C8" w:rsidRDefault="00AF16C8">
    <w:pPr>
      <w:pStyle w:val="Nagwek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C8" w:rsidRDefault="000E593F">
    <w:pPr>
      <w:pStyle w:val="Nagwek"/>
      <w:pBdr>
        <w:bottom w:val="single" w:sz="4" w:space="1" w:color="000000"/>
      </w:pBdr>
      <w:jc w:val="center"/>
    </w:pPr>
    <w:r>
      <w:rPr>
        <w:b/>
        <w:bCs/>
        <w:i/>
        <w:iCs/>
        <w:noProof/>
      </w:rPr>
      <w:drawing>
        <wp:inline distT="0" distB="0" distL="0" distR="0">
          <wp:extent cx="3457575" cy="8001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01252BB"/>
    <w:multiLevelType w:val="hybridMultilevel"/>
    <w:tmpl w:val="4E94F598"/>
    <w:lvl w:ilvl="0" w:tplc="3488C86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7891E45"/>
    <w:multiLevelType w:val="multilevel"/>
    <w:tmpl w:val="0178AFA0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ahoma" w:hAnsi="Tahoma" w:cs="Tahoma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1436CC"/>
    <w:multiLevelType w:val="hybridMultilevel"/>
    <w:tmpl w:val="BA98000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E237D85"/>
    <w:multiLevelType w:val="hybridMultilevel"/>
    <w:tmpl w:val="9EC0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A4"/>
    <w:rsid w:val="000334E5"/>
    <w:rsid w:val="00054168"/>
    <w:rsid w:val="000E593F"/>
    <w:rsid w:val="00134A97"/>
    <w:rsid w:val="001B37E0"/>
    <w:rsid w:val="001C54EE"/>
    <w:rsid w:val="002342C8"/>
    <w:rsid w:val="002C2A83"/>
    <w:rsid w:val="002E2DA0"/>
    <w:rsid w:val="00314832"/>
    <w:rsid w:val="00335484"/>
    <w:rsid w:val="00367213"/>
    <w:rsid w:val="003E6C9B"/>
    <w:rsid w:val="003E7AC1"/>
    <w:rsid w:val="0040038D"/>
    <w:rsid w:val="00415937"/>
    <w:rsid w:val="004B164B"/>
    <w:rsid w:val="004B200C"/>
    <w:rsid w:val="005905A4"/>
    <w:rsid w:val="005B24B8"/>
    <w:rsid w:val="006620DC"/>
    <w:rsid w:val="00690C0E"/>
    <w:rsid w:val="007919DB"/>
    <w:rsid w:val="007C313D"/>
    <w:rsid w:val="00836C85"/>
    <w:rsid w:val="009F18F7"/>
    <w:rsid w:val="00AF16C8"/>
    <w:rsid w:val="00B14DD8"/>
    <w:rsid w:val="00B342B4"/>
    <w:rsid w:val="00BD5527"/>
    <w:rsid w:val="00C06694"/>
    <w:rsid w:val="00E65983"/>
    <w:rsid w:val="00EC015C"/>
    <w:rsid w:val="00ED6470"/>
    <w:rsid w:val="00F47425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A3BE9-3AB5-4AC7-95CD-7BF36107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5A4"/>
    <w:rPr>
      <w:rFonts w:eastAsiaTheme="minorHAnsi"/>
      <w:sz w:val="24"/>
      <w:szCs w:val="24"/>
    </w:rPr>
  </w:style>
  <w:style w:type="paragraph" w:styleId="Nagwek1">
    <w:name w:val="heading 1"/>
    <w:basedOn w:val="Nagwek"/>
    <w:next w:val="Tekstpodstawowy"/>
    <w:qFormat/>
    <w:rsid w:val="00AF16C8"/>
    <w:pPr>
      <w:outlineLvl w:val="0"/>
    </w:pPr>
    <w:rPr>
      <w:b/>
      <w:bCs/>
    </w:rPr>
  </w:style>
  <w:style w:type="paragraph" w:styleId="Nagwek2">
    <w:name w:val="heading 2"/>
    <w:basedOn w:val="Nagwek"/>
    <w:next w:val="Tekstpodstawowy"/>
    <w:qFormat/>
    <w:rsid w:val="00AF16C8"/>
    <w:pPr>
      <w:outlineLvl w:val="1"/>
    </w:pPr>
    <w:rPr>
      <w:b/>
      <w:bCs/>
      <w:i/>
      <w:iCs/>
    </w:rPr>
  </w:style>
  <w:style w:type="paragraph" w:styleId="Nagwek3">
    <w:name w:val="heading 3"/>
    <w:basedOn w:val="Nagwek"/>
    <w:next w:val="Tekstpodstawowy"/>
    <w:qFormat/>
    <w:rsid w:val="00AF16C8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F16C8"/>
  </w:style>
  <w:style w:type="character" w:styleId="Numerstrony">
    <w:name w:val="page number"/>
    <w:basedOn w:val="Domylnaczcionkaakapitu1"/>
    <w:semiHidden/>
    <w:rsid w:val="00AF16C8"/>
  </w:style>
  <w:style w:type="character" w:styleId="Hipercze">
    <w:name w:val="Hyperlink"/>
    <w:basedOn w:val="WW-Domylnaczcionkaakapitu"/>
    <w:semiHidden/>
    <w:rsid w:val="00AF16C8"/>
    <w:rPr>
      <w:color w:val="0000FF"/>
      <w:u w:val="single"/>
    </w:rPr>
  </w:style>
  <w:style w:type="character" w:styleId="UyteHipercze">
    <w:name w:val="FollowedHyperlink"/>
    <w:semiHidden/>
    <w:rsid w:val="00AF16C8"/>
    <w:rPr>
      <w:color w:val="800000"/>
      <w:u w:val="single"/>
    </w:rPr>
  </w:style>
  <w:style w:type="character" w:customStyle="1" w:styleId="Znakiprzypiswkocowych">
    <w:name w:val="Znaki przypisów końcowych"/>
    <w:rsid w:val="00AF16C8"/>
  </w:style>
  <w:style w:type="character" w:customStyle="1" w:styleId="Absatz-Standardschriftart">
    <w:name w:val="Absatz-Standardschriftart"/>
    <w:rsid w:val="00AF16C8"/>
  </w:style>
  <w:style w:type="character" w:customStyle="1" w:styleId="Domylnaczcionkaakapitu1">
    <w:name w:val="Domyślna czcionka akapitu1"/>
    <w:rsid w:val="00AF16C8"/>
  </w:style>
  <w:style w:type="character" w:customStyle="1" w:styleId="WW-Domylnaczcionkaakapitu">
    <w:name w:val="WW-Domyślna czcionka akapitu"/>
    <w:rsid w:val="00AF16C8"/>
  </w:style>
  <w:style w:type="character" w:customStyle="1" w:styleId="WW8Num3z0">
    <w:name w:val="WW8Num3z0"/>
    <w:rsid w:val="00AF16C8"/>
    <w:rPr>
      <w:rFonts w:ascii="Wingdings" w:hAnsi="Wingdings"/>
    </w:rPr>
  </w:style>
  <w:style w:type="character" w:customStyle="1" w:styleId="WW8Num3z1">
    <w:name w:val="WW8Num3z1"/>
    <w:rsid w:val="00AF16C8"/>
    <w:rPr>
      <w:rFonts w:ascii="Courier New" w:hAnsi="Courier New" w:cs="Courier New"/>
    </w:rPr>
  </w:style>
  <w:style w:type="character" w:customStyle="1" w:styleId="WW8Num3z3">
    <w:name w:val="WW8Num3z3"/>
    <w:rsid w:val="00AF16C8"/>
    <w:rPr>
      <w:rFonts w:ascii="Symbol" w:hAnsi="Symbol"/>
    </w:rPr>
  </w:style>
  <w:style w:type="character" w:customStyle="1" w:styleId="WW8Num9z0">
    <w:name w:val="WW8Num9z0"/>
    <w:rsid w:val="00AF16C8"/>
    <w:rPr>
      <w:b w:val="0"/>
      <w:i w:val="0"/>
    </w:rPr>
  </w:style>
  <w:style w:type="character" w:customStyle="1" w:styleId="WW8Num11z2">
    <w:name w:val="WW8Num11z2"/>
    <w:rsid w:val="00AF16C8"/>
    <w:rPr>
      <w:b w:val="0"/>
    </w:rPr>
  </w:style>
  <w:style w:type="character" w:customStyle="1" w:styleId="WW8Num12z0">
    <w:name w:val="WW8Num12z0"/>
    <w:rsid w:val="00AF16C8"/>
    <w:rPr>
      <w:b w:val="0"/>
      <w:i w:val="0"/>
    </w:rPr>
  </w:style>
  <w:style w:type="character" w:customStyle="1" w:styleId="WW8Num1z0">
    <w:name w:val="WW8Num1z0"/>
    <w:rsid w:val="00AF16C8"/>
    <w:rPr>
      <w:b w:val="0"/>
      <w:i w:val="0"/>
    </w:rPr>
  </w:style>
  <w:style w:type="character" w:customStyle="1" w:styleId="WW8Num2z0">
    <w:name w:val="WW8Num2z0"/>
    <w:rsid w:val="00AF16C8"/>
    <w:rPr>
      <w:rFonts w:ascii="Wingdings" w:hAnsi="Wingdings"/>
    </w:rPr>
  </w:style>
  <w:style w:type="character" w:customStyle="1" w:styleId="WW8Num4z0">
    <w:name w:val="WW8Num4z0"/>
    <w:rsid w:val="00AF16C8"/>
    <w:rPr>
      <w:rFonts w:ascii="Wingdings" w:hAnsi="Wingdings"/>
    </w:rPr>
  </w:style>
  <w:style w:type="character" w:customStyle="1" w:styleId="WW8Num5z0">
    <w:name w:val="WW8Num5z0"/>
    <w:rsid w:val="00AF16C8"/>
    <w:rPr>
      <w:rFonts w:ascii="Wingdings" w:hAnsi="Wingdings"/>
    </w:rPr>
  </w:style>
  <w:style w:type="character" w:customStyle="1" w:styleId="WW8Num6z0">
    <w:name w:val="WW8Num6z0"/>
    <w:rsid w:val="00AF16C8"/>
    <w:rPr>
      <w:rFonts w:ascii="Wingdings" w:hAnsi="Wingdings"/>
    </w:rPr>
  </w:style>
  <w:style w:type="character" w:customStyle="1" w:styleId="WW8Num7z0">
    <w:name w:val="WW8Num7z0"/>
    <w:rsid w:val="00AF16C8"/>
    <w:rPr>
      <w:b w:val="0"/>
      <w:i w:val="0"/>
    </w:rPr>
  </w:style>
  <w:style w:type="character" w:customStyle="1" w:styleId="WW8Num8z0">
    <w:name w:val="WW8Num8z0"/>
    <w:rsid w:val="00AF16C8"/>
    <w:rPr>
      <w:b w:val="0"/>
      <w:i w:val="0"/>
    </w:rPr>
  </w:style>
  <w:style w:type="character" w:customStyle="1" w:styleId="WW8Num9z2">
    <w:name w:val="WW8Num9z2"/>
    <w:rsid w:val="00AF16C8"/>
    <w:rPr>
      <w:rFonts w:ascii="Wingdings" w:hAnsi="Wingdings"/>
      <w:b w:val="0"/>
      <w:i w:val="0"/>
    </w:rPr>
  </w:style>
  <w:style w:type="character" w:customStyle="1" w:styleId="WW8Num10z0">
    <w:name w:val="WW8Num10z0"/>
    <w:rsid w:val="00AF16C8"/>
    <w:rPr>
      <w:rFonts w:ascii="Wingdings" w:hAnsi="Wingdings"/>
    </w:rPr>
  </w:style>
  <w:style w:type="character" w:customStyle="1" w:styleId="WW8Num10z1">
    <w:name w:val="WW8Num10z1"/>
    <w:rsid w:val="00AF16C8"/>
    <w:rPr>
      <w:rFonts w:ascii="Courier New" w:hAnsi="Courier New" w:cs="Courier New"/>
    </w:rPr>
  </w:style>
  <w:style w:type="character" w:customStyle="1" w:styleId="WW8Num10z3">
    <w:name w:val="WW8Num10z3"/>
    <w:rsid w:val="00AF16C8"/>
    <w:rPr>
      <w:rFonts w:ascii="Symbol" w:hAnsi="Symbol"/>
    </w:rPr>
  </w:style>
  <w:style w:type="character" w:customStyle="1" w:styleId="WW8Num11z0">
    <w:name w:val="WW8Num11z0"/>
    <w:rsid w:val="00AF16C8"/>
    <w:rPr>
      <w:rFonts w:ascii="Symbol" w:hAnsi="Symbol"/>
    </w:rPr>
  </w:style>
  <w:style w:type="character" w:customStyle="1" w:styleId="WW8Num14z0">
    <w:name w:val="WW8Num14z0"/>
    <w:rsid w:val="00AF16C8"/>
    <w:rPr>
      <w:rFonts w:ascii="Wingdings" w:hAnsi="Wingdings"/>
    </w:rPr>
  </w:style>
  <w:style w:type="character" w:customStyle="1" w:styleId="WW8Num15z0">
    <w:name w:val="WW8Num15z0"/>
    <w:rsid w:val="00AF16C8"/>
    <w:rPr>
      <w:rFonts w:ascii="Wingdings" w:hAnsi="Wingdings"/>
    </w:rPr>
  </w:style>
  <w:style w:type="character" w:customStyle="1" w:styleId="WW8Num15z1">
    <w:name w:val="WW8Num15z1"/>
    <w:rsid w:val="00AF16C8"/>
    <w:rPr>
      <w:rFonts w:ascii="Courier New" w:hAnsi="Courier New" w:cs="Courier New"/>
    </w:rPr>
  </w:style>
  <w:style w:type="character" w:customStyle="1" w:styleId="WW8Num15z3">
    <w:name w:val="WW8Num15z3"/>
    <w:rsid w:val="00AF16C8"/>
    <w:rPr>
      <w:rFonts w:ascii="Symbol" w:hAnsi="Symbol"/>
    </w:rPr>
  </w:style>
  <w:style w:type="character" w:customStyle="1" w:styleId="WW8Num16z0">
    <w:name w:val="WW8Num16z0"/>
    <w:rsid w:val="00AF16C8"/>
    <w:rPr>
      <w:rFonts w:ascii="Wingdings" w:hAnsi="Wingdings"/>
    </w:rPr>
  </w:style>
  <w:style w:type="character" w:customStyle="1" w:styleId="WW8Num17z0">
    <w:name w:val="WW8Num17z0"/>
    <w:rsid w:val="00AF16C8"/>
    <w:rPr>
      <w:rFonts w:ascii="Wingdings" w:hAnsi="Wingdings"/>
    </w:rPr>
  </w:style>
  <w:style w:type="character" w:customStyle="1" w:styleId="WW8Num18z0">
    <w:name w:val="WW8Num18z0"/>
    <w:rsid w:val="00AF16C8"/>
    <w:rPr>
      <w:b w:val="0"/>
      <w:i w:val="0"/>
    </w:rPr>
  </w:style>
  <w:style w:type="character" w:customStyle="1" w:styleId="WW8Num19z0">
    <w:name w:val="WW8Num19z0"/>
    <w:rsid w:val="00AF16C8"/>
    <w:rPr>
      <w:rFonts w:ascii="Wingdings" w:hAnsi="Wingdings"/>
    </w:rPr>
  </w:style>
  <w:style w:type="character" w:customStyle="1" w:styleId="WW8Num20z0">
    <w:name w:val="WW8Num20z0"/>
    <w:rsid w:val="00AF16C8"/>
    <w:rPr>
      <w:rFonts w:ascii="Wingdings" w:hAnsi="Wingdings"/>
    </w:rPr>
  </w:style>
  <w:style w:type="character" w:customStyle="1" w:styleId="Odwoanieprzypisukocowego1">
    <w:name w:val="Odwołanie przypisu końcowego1"/>
    <w:basedOn w:val="Domylnaczcionkaakapitu1"/>
    <w:rsid w:val="00AF16C8"/>
    <w:rPr>
      <w:vertAlign w:val="superscript"/>
    </w:rPr>
  </w:style>
  <w:style w:type="character" w:customStyle="1" w:styleId="Znakinumeracji">
    <w:name w:val="Znaki numeracji"/>
    <w:rsid w:val="00AF16C8"/>
  </w:style>
  <w:style w:type="character" w:customStyle="1" w:styleId="Symbolewypunktowania">
    <w:name w:val="Symbole wypunktowania"/>
    <w:rsid w:val="00AF16C8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F16C8"/>
    <w:pPr>
      <w:tabs>
        <w:tab w:val="right" w:pos="8820"/>
      </w:tabs>
    </w:pPr>
    <w:rPr>
      <w:b/>
      <w:u w:val="single"/>
    </w:rPr>
  </w:style>
  <w:style w:type="paragraph" w:customStyle="1" w:styleId="Podpis2">
    <w:name w:val="Podpis2"/>
    <w:basedOn w:val="Normalny"/>
    <w:rsid w:val="00AF16C8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AF16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AF16C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semiHidden/>
    <w:rsid w:val="00AF16C8"/>
    <w:rPr>
      <w:rFonts w:cs="Tahoma"/>
    </w:rPr>
  </w:style>
  <w:style w:type="paragraph" w:styleId="Stopka">
    <w:name w:val="footer"/>
    <w:basedOn w:val="Normalny"/>
    <w:semiHidden/>
    <w:rsid w:val="00AF16C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F16C8"/>
    <w:pPr>
      <w:suppressLineNumbers/>
    </w:pPr>
  </w:style>
  <w:style w:type="paragraph" w:customStyle="1" w:styleId="Nagwektabeli">
    <w:name w:val="Nagłówek tabeli"/>
    <w:basedOn w:val="Zawartotabeli"/>
    <w:rsid w:val="00AF16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F16C8"/>
  </w:style>
  <w:style w:type="paragraph" w:customStyle="1" w:styleId="Indeks">
    <w:name w:val="Indeks"/>
    <w:basedOn w:val="Normalny"/>
    <w:rsid w:val="00AF16C8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AF16C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AF16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dymka">
    <w:name w:val="Balloon Text"/>
    <w:basedOn w:val="Normalny"/>
    <w:rsid w:val="00AF16C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05A4"/>
    <w:rPr>
      <w:b/>
      <w:sz w:val="24"/>
      <w:u w:val="single"/>
      <w:lang w:eastAsia="ar-SA"/>
    </w:rPr>
  </w:style>
  <w:style w:type="paragraph" w:customStyle="1" w:styleId="Standard">
    <w:name w:val="Standard"/>
    <w:rsid w:val="005905A4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905A4"/>
    <w:pPr>
      <w:ind w:left="720"/>
      <w:contextualSpacing/>
    </w:pPr>
  </w:style>
  <w:style w:type="paragraph" w:customStyle="1" w:styleId="Akapitzlist1">
    <w:name w:val="Akapit z listą1"/>
    <w:basedOn w:val="Normalny"/>
    <w:rsid w:val="005905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5905A4"/>
    <w:pPr>
      <w:widowControl w:val="0"/>
      <w:autoSpaceDN w:val="0"/>
      <w:adjustRightInd w:val="0"/>
      <w:jc w:val="center"/>
    </w:pPr>
    <w:rPr>
      <w:rFonts w:ascii="Arial" w:eastAsia="Times New Roman" w:hAnsi="Arial"/>
      <w:b/>
    </w:rPr>
  </w:style>
  <w:style w:type="character" w:customStyle="1" w:styleId="TytuZnak">
    <w:name w:val="Tytuł Znak"/>
    <w:basedOn w:val="Domylnaczcionkaakapitu"/>
    <w:link w:val="Tytu"/>
    <w:uiPriority w:val="99"/>
    <w:rsid w:val="005905A4"/>
    <w:rPr>
      <w:rFonts w:ascii="Arial" w:hAnsi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5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905A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%20Borowska\Documents\Niestandardowe%20szablony%20pakietu%20Office\Brok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9258-4CCD-447D-A929-53714A4B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Broker</Template>
  <TotalTime>5</TotalTime>
  <Pages>3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Borowska</dc:creator>
  <cp:lastModifiedBy>Ania Borowska</cp:lastModifiedBy>
  <cp:revision>1</cp:revision>
  <cp:lastPrinted>2014-02-26T12:31:00Z</cp:lastPrinted>
  <dcterms:created xsi:type="dcterms:W3CDTF">2014-02-26T12:26:00Z</dcterms:created>
  <dcterms:modified xsi:type="dcterms:W3CDTF">2014-02-26T12:32:00Z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1maPFI_xzLdrxTCWqOYmMOvctXHHZ4WgVZ_ql-gq493A</vt:lpwstr>
  </property>
  <property fmtid="{D5CDD505-2E9C-101B-9397-08002B2CF9AE}" pid="4" name="Google.Documents.RevisionId">
    <vt:lpwstr>10116498402733131945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